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六安市住房公积金中心</w: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自助查询打印一体机</w:t>
      </w:r>
      <w:bookmarkStart w:id="0" w:name="_GoBack"/>
      <w:bookmarkEnd w:id="0"/>
      <w:r>
        <w:rPr>
          <w:rFonts w:hint="eastAsia" w:ascii="方正小标宋简体" w:hAnsi="方正小标宋简体" w:eastAsia="方正小标宋简体" w:cs="方正小标宋简体"/>
          <w:sz w:val="36"/>
          <w:szCs w:val="36"/>
          <w:lang w:val="en-US" w:eastAsia="zh-CN"/>
        </w:rPr>
        <w:t>软件升级采购需求</w:t>
      </w:r>
    </w:p>
    <w:p>
      <w:pPr>
        <w:rPr>
          <w:rFonts w:hint="eastAsia"/>
          <w:sz w:val="28"/>
          <w:szCs w:val="36"/>
          <w:lang w:val="en-US" w:eastAsia="zh-CN"/>
        </w:rPr>
      </w:pPr>
    </w:p>
    <w:p>
      <w:pPr>
        <w:ind w:firstLine="562" w:firstLineChars="200"/>
        <w:rPr>
          <w:rFonts w:hint="eastAsia"/>
          <w:b/>
          <w:bCs/>
          <w:sz w:val="28"/>
          <w:szCs w:val="36"/>
          <w:lang w:val="en-US" w:eastAsia="zh-CN"/>
        </w:rPr>
      </w:pPr>
      <w:r>
        <w:rPr>
          <w:rFonts w:hint="eastAsia"/>
          <w:b/>
          <w:bCs/>
          <w:sz w:val="28"/>
          <w:szCs w:val="36"/>
          <w:lang w:val="en-US" w:eastAsia="zh-CN"/>
        </w:rPr>
        <w:t>一、需求建设背景</w:t>
      </w:r>
    </w:p>
    <w:p>
      <w:pPr>
        <w:ind w:firstLine="560" w:firstLineChars="200"/>
        <w:rPr>
          <w:rFonts w:hint="default"/>
          <w:sz w:val="28"/>
          <w:szCs w:val="36"/>
          <w:lang w:val="en-US" w:eastAsia="zh-CN"/>
        </w:rPr>
      </w:pPr>
      <w:r>
        <w:rPr>
          <w:rFonts w:hint="eastAsia"/>
          <w:sz w:val="28"/>
          <w:szCs w:val="36"/>
          <w:lang w:val="en-US" w:eastAsia="zh-CN"/>
        </w:rPr>
        <w:t>六安市住房公积金中心（以下简称中心）2018年至今先后采购上海南天电脑系统有限公司（以下简称上海南天）17台南天BST5810C自助查询打印一体机。随着中心业务的发展，对自助终端的功能也提出了更多的需求，经中心与住房公积金核心 业务系统开发单位中国建设银行初步讨论，由建设银行提供相关接口，自助终端厂商对自助终端的软件系统进行升级改造，使之实现住房公积金归集、提取、贷款等业务办理，并对办理过程中调用的大数据进行数据留痕；支持社保卡登录和现场拍照等功能。</w:t>
      </w:r>
    </w:p>
    <w:p>
      <w:pPr>
        <w:ind w:firstLine="562" w:firstLineChars="200"/>
        <w:rPr>
          <w:rFonts w:hint="eastAsia"/>
          <w:b/>
          <w:bCs/>
          <w:sz w:val="28"/>
          <w:szCs w:val="36"/>
          <w:lang w:val="en-US" w:eastAsia="zh-CN"/>
        </w:rPr>
      </w:pPr>
      <w:r>
        <w:rPr>
          <w:rFonts w:hint="eastAsia"/>
          <w:b/>
          <w:bCs/>
          <w:sz w:val="28"/>
          <w:szCs w:val="36"/>
          <w:lang w:val="en-US" w:eastAsia="zh-CN"/>
        </w:rPr>
        <w:t>二、需求详述</w:t>
      </w:r>
    </w:p>
    <w:p>
      <w:pPr>
        <w:ind w:firstLine="562" w:firstLineChars="200"/>
        <w:rPr>
          <w:rFonts w:hint="eastAsia"/>
          <w:b/>
          <w:bCs/>
          <w:sz w:val="28"/>
          <w:szCs w:val="36"/>
          <w:lang w:val="en-US" w:eastAsia="zh-CN"/>
        </w:rPr>
      </w:pPr>
      <w:r>
        <w:rPr>
          <w:rFonts w:hint="eastAsia"/>
          <w:b/>
          <w:bCs/>
          <w:sz w:val="28"/>
          <w:szCs w:val="36"/>
          <w:lang w:val="en-US" w:eastAsia="zh-CN"/>
        </w:rPr>
        <w:t>1、登录页面</w:t>
      </w:r>
    </w:p>
    <w:p>
      <w:pPr>
        <w:ind w:firstLine="560" w:firstLineChars="200"/>
        <w:rPr>
          <w:rFonts w:hint="eastAsia"/>
          <w:b w:val="0"/>
          <w:bCs w:val="0"/>
          <w:sz w:val="28"/>
          <w:szCs w:val="36"/>
          <w:lang w:val="en-US" w:eastAsia="zh-CN"/>
        </w:rPr>
      </w:pPr>
      <w:r>
        <w:rPr>
          <w:rFonts w:hint="eastAsia"/>
          <w:b w:val="0"/>
          <w:bCs w:val="0"/>
          <w:sz w:val="28"/>
          <w:szCs w:val="36"/>
          <w:lang w:val="en-US" w:eastAsia="zh-CN"/>
        </w:rPr>
        <w:t>首页任何位置点击动作均触发登录页面，要求实现：身份证登录、社保卡登录、无操作自动返回首页</w:t>
      </w:r>
    </w:p>
    <w:p>
      <w:pPr>
        <w:ind w:firstLine="562" w:firstLineChars="200"/>
        <w:rPr>
          <w:rFonts w:hint="eastAsia"/>
          <w:b/>
          <w:bCs/>
          <w:sz w:val="28"/>
          <w:szCs w:val="36"/>
          <w:lang w:val="en-US" w:eastAsia="zh-CN"/>
        </w:rPr>
      </w:pPr>
      <w:r>
        <w:rPr>
          <w:rFonts w:hint="eastAsia"/>
          <w:b/>
          <w:bCs/>
          <w:sz w:val="28"/>
          <w:szCs w:val="36"/>
          <w:lang w:val="en-US" w:eastAsia="zh-CN"/>
        </w:rPr>
        <w:t>（1）选择登录方式</w:t>
      </w:r>
    </w:p>
    <w:p>
      <w:pPr>
        <w:ind w:firstLine="560" w:firstLineChars="200"/>
        <w:rPr>
          <w:rFonts w:hint="default"/>
          <w:b w:val="0"/>
          <w:bCs w:val="0"/>
          <w:sz w:val="28"/>
          <w:szCs w:val="36"/>
          <w:lang w:val="en-US" w:eastAsia="zh-CN"/>
        </w:rPr>
      </w:pPr>
      <w:r>
        <w:rPr>
          <w:rFonts w:hint="eastAsia"/>
          <w:b w:val="0"/>
          <w:bCs w:val="0"/>
          <w:sz w:val="28"/>
          <w:szCs w:val="36"/>
          <w:lang w:val="en-US" w:eastAsia="zh-CN"/>
        </w:rPr>
        <w:t>页面上提示：“请选择登录方式”，设置身份证登录和社保卡登录两大按钮。</w:t>
      </w:r>
    </w:p>
    <w:p>
      <w:pPr>
        <w:ind w:firstLine="562" w:firstLineChars="200"/>
        <w:rPr>
          <w:rFonts w:hint="eastAsia"/>
          <w:b/>
          <w:bCs/>
          <w:sz w:val="28"/>
          <w:szCs w:val="36"/>
          <w:lang w:val="en-US" w:eastAsia="zh-CN"/>
        </w:rPr>
      </w:pPr>
      <w:r>
        <w:rPr>
          <w:rFonts w:hint="eastAsia"/>
          <w:b/>
          <w:bCs/>
          <w:sz w:val="28"/>
          <w:szCs w:val="36"/>
          <w:lang w:val="en-US" w:eastAsia="zh-CN"/>
        </w:rPr>
        <w:t>（2）身份证登录</w:t>
      </w:r>
    </w:p>
    <w:p>
      <w:pPr>
        <w:ind w:firstLine="560" w:firstLineChars="200"/>
        <w:rPr>
          <w:rFonts w:hint="eastAsia"/>
          <w:b w:val="0"/>
          <w:bCs w:val="0"/>
          <w:sz w:val="28"/>
          <w:szCs w:val="36"/>
          <w:lang w:val="en-US" w:eastAsia="zh-CN"/>
        </w:rPr>
      </w:pPr>
      <w:r>
        <w:rPr>
          <w:rFonts w:hint="eastAsia"/>
          <w:b w:val="0"/>
          <w:bCs w:val="0"/>
          <w:sz w:val="28"/>
          <w:szCs w:val="36"/>
          <w:lang w:val="en-US" w:eastAsia="zh-CN"/>
        </w:rPr>
        <w:t>点击身份证登录，屏幕提示职工刷身份证，调用刷身份证模块，等待职工刷二代身份证，获取身份证号码。</w:t>
      </w:r>
    </w:p>
    <w:p>
      <w:pPr>
        <w:ind w:firstLine="560" w:firstLineChars="200"/>
        <w:rPr>
          <w:rFonts w:hint="eastAsia"/>
          <w:b w:val="0"/>
          <w:bCs w:val="0"/>
          <w:sz w:val="28"/>
          <w:szCs w:val="36"/>
          <w:lang w:val="en-US" w:eastAsia="zh-CN"/>
        </w:rPr>
      </w:pPr>
      <w:r>
        <w:rPr>
          <w:rFonts w:hint="eastAsia"/>
          <w:b w:val="0"/>
          <w:bCs w:val="0"/>
          <w:sz w:val="28"/>
          <w:szCs w:val="36"/>
          <w:lang w:val="en-US" w:eastAsia="zh-CN"/>
        </w:rPr>
        <w:t>页面中设置同意授权的文字说明（文字内容后台可编辑）。</w:t>
      </w:r>
    </w:p>
    <w:p>
      <w:pPr>
        <w:rPr>
          <w:rFonts w:hint="eastAsia"/>
          <w:b/>
          <w:bCs/>
          <w:sz w:val="28"/>
          <w:szCs w:val="36"/>
          <w:lang w:val="en-US" w:eastAsia="zh-CN"/>
        </w:rPr>
      </w:pPr>
      <w:r>
        <w:drawing>
          <wp:inline distT="0" distB="0" distL="114300" distR="114300">
            <wp:extent cx="5273040" cy="3166110"/>
            <wp:effectExtent l="0" t="0" r="3810" b="152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
                    <a:stretch>
                      <a:fillRect/>
                    </a:stretch>
                  </pic:blipFill>
                  <pic:spPr>
                    <a:xfrm>
                      <a:off x="0" y="0"/>
                      <a:ext cx="5273040" cy="3166110"/>
                    </a:xfrm>
                    <a:prstGeom prst="rect">
                      <a:avLst/>
                    </a:prstGeom>
                    <a:noFill/>
                    <a:ln>
                      <a:noFill/>
                    </a:ln>
                  </pic:spPr>
                </pic:pic>
              </a:graphicData>
            </a:graphic>
          </wp:inline>
        </w:drawing>
      </w:r>
      <w:r>
        <w:rPr>
          <w:rFonts w:hint="eastAsia"/>
          <w:b/>
          <w:bCs/>
          <w:sz w:val="28"/>
          <w:szCs w:val="36"/>
          <w:lang w:val="en-US" w:eastAsia="zh-CN"/>
        </w:rPr>
        <w:t>（3）社保卡登录</w:t>
      </w:r>
    </w:p>
    <w:p>
      <w:pPr>
        <w:ind w:firstLine="560" w:firstLineChars="200"/>
        <w:rPr>
          <w:rFonts w:hint="default"/>
          <w:b w:val="0"/>
          <w:bCs w:val="0"/>
          <w:sz w:val="28"/>
          <w:szCs w:val="36"/>
          <w:lang w:val="en-US" w:eastAsia="zh-CN"/>
        </w:rPr>
      </w:pPr>
      <w:r>
        <w:rPr>
          <w:rFonts w:hint="eastAsia"/>
          <w:b w:val="0"/>
          <w:bCs w:val="0"/>
          <w:sz w:val="28"/>
          <w:szCs w:val="36"/>
          <w:lang w:val="en-US" w:eastAsia="zh-CN"/>
        </w:rPr>
        <w:t>点击社保卡登录，屏幕提示职工插入社保卡(类似上图），调用</w:t>
      </w:r>
      <w:r>
        <w:rPr>
          <w:rFonts w:hint="eastAsia"/>
          <w:b w:val="0"/>
          <w:bCs w:val="0"/>
          <w:sz w:val="28"/>
          <w:szCs w:val="36"/>
          <w:highlight w:val="none"/>
          <w:lang w:val="en-US" w:eastAsia="zh-CN"/>
        </w:rPr>
        <w:t>银行卡模块，读取职工银行卡号，调用社保查询接口，获取职工身份</w:t>
      </w:r>
      <w:r>
        <w:rPr>
          <w:rFonts w:hint="eastAsia"/>
          <w:b w:val="0"/>
          <w:bCs w:val="0"/>
          <w:sz w:val="28"/>
          <w:szCs w:val="36"/>
          <w:lang w:val="en-US" w:eastAsia="zh-CN"/>
        </w:rPr>
        <w:t>证号码。卡号获取成功后，弹出社保卡，并提示职工取回。</w:t>
      </w:r>
    </w:p>
    <w:p>
      <w:pPr>
        <w:ind w:firstLine="560" w:firstLineChars="200"/>
        <w:rPr>
          <w:rFonts w:hint="eastAsia"/>
          <w:b w:val="0"/>
          <w:bCs w:val="0"/>
          <w:sz w:val="28"/>
          <w:szCs w:val="36"/>
          <w:lang w:val="en-US" w:eastAsia="zh-CN"/>
        </w:rPr>
      </w:pPr>
      <w:r>
        <w:rPr>
          <w:rFonts w:hint="eastAsia"/>
          <w:b w:val="0"/>
          <w:bCs w:val="0"/>
          <w:sz w:val="28"/>
          <w:szCs w:val="36"/>
          <w:lang w:val="en-US" w:eastAsia="zh-CN"/>
        </w:rPr>
        <w:t>页面中设置同意授权的文字说明（文字内容后台可编辑）。</w:t>
      </w:r>
    </w:p>
    <w:p>
      <w:pPr>
        <w:jc w:val="both"/>
        <w:rPr>
          <w:rFonts w:hint="default"/>
          <w:b w:val="0"/>
          <w:bCs w:val="0"/>
          <w:sz w:val="28"/>
          <w:szCs w:val="36"/>
          <w:lang w:val="en-US" w:eastAsia="zh-CN"/>
        </w:rPr>
      </w:pPr>
    </w:p>
    <w:p>
      <w:pPr>
        <w:ind w:firstLine="560" w:firstLineChars="200"/>
        <w:rPr>
          <w:rFonts w:hint="eastAsia"/>
          <w:b w:val="0"/>
          <w:bCs w:val="0"/>
          <w:sz w:val="28"/>
          <w:szCs w:val="36"/>
          <w:lang w:val="en-US" w:eastAsia="zh-CN"/>
        </w:rPr>
      </w:pPr>
      <w:r>
        <w:rPr>
          <w:rFonts w:hint="eastAsia"/>
          <w:b w:val="0"/>
          <w:bCs w:val="0"/>
          <w:sz w:val="28"/>
          <w:szCs w:val="36"/>
          <w:lang w:val="en-US" w:eastAsia="zh-CN"/>
        </w:rPr>
        <w:t>获取职工身份证号码后，查询职工账户信息，并将缴存状态为“正常”的公积金个人账户作为当前账户。</w:t>
      </w:r>
    </w:p>
    <w:p>
      <w:pPr>
        <w:ind w:firstLine="560" w:firstLineChars="200"/>
        <w:rPr>
          <w:rFonts w:hint="eastAsia"/>
          <w:b w:val="0"/>
          <w:bCs w:val="0"/>
          <w:sz w:val="28"/>
          <w:szCs w:val="36"/>
          <w:lang w:val="en-US" w:eastAsia="zh-CN"/>
        </w:rPr>
      </w:pPr>
      <w:r>
        <w:rPr>
          <w:rFonts w:hint="eastAsia"/>
          <w:b w:val="0"/>
          <w:bCs w:val="0"/>
          <w:sz w:val="28"/>
          <w:szCs w:val="36"/>
          <w:lang w:val="en-US" w:eastAsia="zh-CN"/>
        </w:rPr>
        <w:t>在单位信息表中查询该身份证号码是否为单位经办人，确定后面主页面是否显示单位业务。</w:t>
      </w:r>
    </w:p>
    <w:p>
      <w:pPr>
        <w:ind w:firstLine="560" w:firstLineChars="200"/>
        <w:rPr>
          <w:rFonts w:hint="eastAsia"/>
          <w:b w:val="0"/>
          <w:bCs w:val="0"/>
          <w:sz w:val="28"/>
          <w:szCs w:val="36"/>
          <w:lang w:val="en-US" w:eastAsia="zh-CN"/>
        </w:rPr>
      </w:pPr>
      <w:r>
        <w:rPr>
          <w:rFonts w:hint="eastAsia"/>
          <w:b w:val="0"/>
          <w:bCs w:val="0"/>
          <w:sz w:val="28"/>
          <w:szCs w:val="36"/>
          <w:lang w:val="en-US" w:eastAsia="zh-CN"/>
        </w:rPr>
        <w:t>大致流程图参考如下：</w:t>
      </w:r>
    </w:p>
    <w:p>
      <w:pPr>
        <w:rPr>
          <w:rFonts w:hint="default"/>
          <w:b w:val="0"/>
          <w:bCs w:val="0"/>
          <w:sz w:val="28"/>
          <w:szCs w:val="36"/>
          <w:lang w:val="en-US" w:eastAsia="zh-CN"/>
        </w:rPr>
      </w:pPr>
      <w:r>
        <w:rPr>
          <w:rFonts w:hint="default"/>
          <w:b w:val="0"/>
          <w:bCs w:val="0"/>
          <w:sz w:val="28"/>
          <w:szCs w:val="36"/>
          <w:lang w:val="en-US" w:eastAsia="zh-CN"/>
        </w:rPr>
        <w:drawing>
          <wp:inline distT="0" distB="0" distL="114300" distR="114300">
            <wp:extent cx="5271135" cy="8099425"/>
            <wp:effectExtent l="0" t="0" r="0" b="0"/>
            <wp:docPr id="3" name="图片 3"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录"/>
                    <pic:cNvPicPr>
                      <a:picLocks noChangeAspect="1"/>
                    </pic:cNvPicPr>
                  </pic:nvPicPr>
                  <pic:blipFill>
                    <a:blip r:embed="rId6"/>
                    <a:stretch>
                      <a:fillRect/>
                    </a:stretch>
                  </pic:blipFill>
                  <pic:spPr>
                    <a:xfrm>
                      <a:off x="0" y="0"/>
                      <a:ext cx="5271135" cy="8099425"/>
                    </a:xfrm>
                    <a:prstGeom prst="rect">
                      <a:avLst/>
                    </a:prstGeom>
                  </pic:spPr>
                </pic:pic>
              </a:graphicData>
            </a:graphic>
          </wp:inline>
        </w:drawing>
      </w:r>
    </w:p>
    <w:p>
      <w:pPr>
        <w:rPr>
          <w:rFonts w:hint="default"/>
          <w:b w:val="0"/>
          <w:bCs w:val="0"/>
          <w:sz w:val="28"/>
          <w:szCs w:val="36"/>
          <w:lang w:val="en-US" w:eastAsia="zh-CN"/>
        </w:rPr>
      </w:pPr>
      <w:r>
        <w:rPr>
          <w:rFonts w:hint="default"/>
          <w:b w:val="0"/>
          <w:bCs w:val="0"/>
          <w:sz w:val="28"/>
          <w:szCs w:val="36"/>
          <w:lang w:val="en-US" w:eastAsia="zh-CN"/>
        </w:rPr>
        <w:br w:type="page"/>
      </w:r>
    </w:p>
    <w:p>
      <w:pPr>
        <w:ind w:firstLine="560" w:firstLineChars="200"/>
        <w:rPr>
          <w:rFonts w:hint="eastAsia"/>
          <w:b w:val="0"/>
          <w:bCs w:val="0"/>
          <w:sz w:val="28"/>
          <w:szCs w:val="36"/>
          <w:lang w:val="en-US" w:eastAsia="zh-CN"/>
        </w:rPr>
      </w:pPr>
      <w:r>
        <w:rPr>
          <w:rFonts w:hint="eastAsia"/>
          <w:b w:val="0"/>
          <w:bCs w:val="0"/>
          <w:sz w:val="28"/>
          <w:szCs w:val="36"/>
          <w:lang w:val="en-US" w:eastAsia="zh-CN"/>
        </w:rPr>
        <w:t>2、主页面</w:t>
      </w:r>
    </w:p>
    <w:p>
      <w:pPr>
        <w:ind w:firstLine="560" w:firstLineChars="200"/>
        <w:rPr>
          <w:rFonts w:hint="eastAsia"/>
          <w:b w:val="0"/>
          <w:bCs w:val="0"/>
          <w:sz w:val="28"/>
          <w:szCs w:val="36"/>
          <w:lang w:val="en-US" w:eastAsia="zh-CN"/>
        </w:rPr>
      </w:pPr>
      <w:r>
        <w:rPr>
          <w:rFonts w:hint="eastAsia"/>
          <w:b w:val="0"/>
          <w:bCs w:val="0"/>
          <w:sz w:val="28"/>
          <w:szCs w:val="36"/>
          <w:lang w:val="en-US" w:eastAsia="zh-CN"/>
        </w:rPr>
        <w:t>主页面需要重新改造，采用顶端（或底端）TAB页切换的形式，参考图：</w:t>
      </w:r>
    </w:p>
    <w:p>
      <w:r>
        <w:drawing>
          <wp:inline distT="0" distB="0" distL="114300" distR="114300">
            <wp:extent cx="5271770" cy="3255645"/>
            <wp:effectExtent l="0" t="0" r="50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1770" cy="3255645"/>
                    </a:xfrm>
                    <a:prstGeom prst="rect">
                      <a:avLst/>
                    </a:prstGeom>
                    <a:noFill/>
                    <a:ln>
                      <a:noFill/>
                    </a:ln>
                  </pic:spPr>
                </pic:pic>
              </a:graphicData>
            </a:graphic>
          </wp:inline>
        </w:drawing>
      </w:r>
    </w:p>
    <w:p/>
    <w:p>
      <w:r>
        <w:drawing>
          <wp:inline distT="0" distB="0" distL="114300" distR="114300">
            <wp:extent cx="5271770" cy="3255645"/>
            <wp:effectExtent l="0" t="0" r="5080"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5271770" cy="3255645"/>
                    </a:xfrm>
                    <a:prstGeom prst="rect">
                      <a:avLst/>
                    </a:prstGeom>
                    <a:noFill/>
                    <a:ln>
                      <a:noFill/>
                    </a:ln>
                  </pic:spPr>
                </pic:pic>
              </a:graphicData>
            </a:graphic>
          </wp:inline>
        </w:drawing>
      </w:r>
    </w:p>
    <w:p>
      <w:r>
        <w:br w:type="page"/>
      </w:r>
    </w:p>
    <w:p>
      <w:pPr>
        <w:rPr>
          <w:rFonts w:hint="eastAsia"/>
          <w:lang w:val="en-US" w:eastAsia="zh-CN"/>
        </w:rPr>
        <w:sectPr>
          <w:headerReference r:id="rId3" w:type="default"/>
          <w:pgSz w:w="11906" w:h="16838"/>
          <w:pgMar w:top="1440" w:right="1800" w:bottom="1440" w:left="1800" w:header="851" w:footer="992" w:gutter="0"/>
          <w:cols w:space="425" w:num="1"/>
          <w:docGrid w:type="lines" w:linePitch="312" w:charSpace="0"/>
        </w:sectPr>
      </w:pPr>
    </w:p>
    <w:p>
      <w:pPr>
        <w:ind w:firstLine="560" w:firstLineChars="200"/>
        <w:rPr>
          <w:rFonts w:hint="eastAsia"/>
          <w:b w:val="0"/>
          <w:bCs w:val="0"/>
          <w:sz w:val="28"/>
          <w:szCs w:val="36"/>
          <w:lang w:val="en-US" w:eastAsia="zh-CN"/>
        </w:rPr>
      </w:pPr>
      <w:r>
        <w:rPr>
          <w:rFonts w:hint="eastAsia"/>
          <w:b w:val="0"/>
          <w:bCs w:val="0"/>
          <w:sz w:val="28"/>
          <w:szCs w:val="36"/>
          <w:lang w:val="en-US" w:eastAsia="zh-CN"/>
        </w:rPr>
        <w:t>主要功能列表：</w:t>
      </w:r>
    </w:p>
    <w:tbl>
      <w:tblPr>
        <w:tblStyle w:val="5"/>
        <w:tblW w:w="14250" w:type="dxa"/>
        <w:tblInd w:w="93" w:type="dxa"/>
        <w:shd w:val="clear" w:color="auto" w:fill="auto"/>
        <w:tblLayout w:type="autofit"/>
        <w:tblCellMar>
          <w:top w:w="0" w:type="dxa"/>
          <w:left w:w="108" w:type="dxa"/>
          <w:bottom w:w="0" w:type="dxa"/>
          <w:right w:w="108" w:type="dxa"/>
        </w:tblCellMar>
      </w:tblPr>
      <w:tblGrid>
        <w:gridCol w:w="2160"/>
        <w:gridCol w:w="2160"/>
        <w:gridCol w:w="2805"/>
        <w:gridCol w:w="2805"/>
        <w:gridCol w:w="2160"/>
        <w:gridCol w:w="2160"/>
      </w:tblGrid>
      <w:tr>
        <w:tblPrEx>
          <w:tblCellMar>
            <w:top w:w="0" w:type="dxa"/>
            <w:left w:w="108" w:type="dxa"/>
            <w:bottom w:w="0" w:type="dxa"/>
            <w:right w:w="108" w:type="dxa"/>
          </w:tblCellMar>
        </w:tblPrEx>
        <w:trPr>
          <w:trHeight w:val="520" w:hRule="atLeast"/>
        </w:trPr>
        <w:tc>
          <w:tcPr>
            <w:tcW w:w="2160"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个人中心</w:t>
            </w:r>
          </w:p>
        </w:tc>
        <w:tc>
          <w:tcPr>
            <w:tcW w:w="2160"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提取业务</w:t>
            </w:r>
          </w:p>
        </w:tc>
        <w:tc>
          <w:tcPr>
            <w:tcW w:w="2805"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贷款业务</w:t>
            </w:r>
          </w:p>
        </w:tc>
        <w:tc>
          <w:tcPr>
            <w:tcW w:w="2805"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查询打印</w:t>
            </w:r>
          </w:p>
        </w:tc>
        <w:tc>
          <w:tcPr>
            <w:tcW w:w="2160"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单位业务</w:t>
            </w:r>
          </w:p>
        </w:tc>
        <w:tc>
          <w:tcPr>
            <w:tcW w:w="2160" w:type="dxa"/>
            <w:tcBorders>
              <w:top w:val="single" w:color="FCE4D6" w:sz="4" w:space="0"/>
              <w:left w:val="single" w:color="FCE4D6" w:sz="4" w:space="0"/>
              <w:bottom w:val="single" w:color="FCE4D6" w:sz="4" w:space="0"/>
              <w:right w:val="single" w:color="FCE4D6"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i w:val="0"/>
                <w:iCs w:val="0"/>
                <w:color w:val="FFFFFF"/>
                <w:sz w:val="22"/>
                <w:szCs w:val="22"/>
                <w:u w:val="none"/>
              </w:rPr>
            </w:pPr>
            <w:r>
              <w:rPr>
                <w:rFonts w:hint="eastAsia" w:ascii="宋体" w:hAnsi="宋体" w:eastAsia="宋体" w:cs="宋体"/>
                <w:i w:val="0"/>
                <w:iCs w:val="0"/>
                <w:color w:val="FFFFFF"/>
                <w:kern w:val="0"/>
                <w:sz w:val="22"/>
                <w:szCs w:val="22"/>
                <w:u w:val="none"/>
                <w:lang w:val="en-US" w:eastAsia="zh-CN" w:bidi="ar"/>
              </w:rPr>
              <w:t>便民中心</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租房提取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预约提前还款</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服务网点</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个人信息修改</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退休提取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公积金直冲还款</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贷款结清证明</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单位信息修改</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常见问题</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婚姻信息修改</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购商品房提取</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修改还款卡号</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单位缴款收据</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通知公告</w:t>
            </w:r>
          </w:p>
        </w:tc>
      </w:tr>
      <w:tr>
        <w:tblPrEx>
          <w:shd w:val="clear" w:color="auto" w:fill="auto"/>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购二手房提取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贷款额度测算</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异地贷款公积金缴存证明</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单位汇（补）缴书</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政策法规</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解除劳动合同提取</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还款计划表查询</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无公积金证明</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单位公积金明细</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业务指南</w:t>
            </w:r>
          </w:p>
        </w:tc>
      </w:tr>
      <w:tr>
        <w:tblPrEx>
          <w:shd w:val="clear" w:color="auto" w:fill="auto"/>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偿还商贷提取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贷款结清证明</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单位缴存证明</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签约楼盘</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偿还公贷提取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贷款信息查询打印</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单位缴款收据</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个人封存、启封</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贷款计息器</w:t>
            </w: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长三角购房提取</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异地贷款公积金缴存证明</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单位汇（补）缴书</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缴存基数调整</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520" w:hRule="atLeast"/>
        </w:trPr>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贷款进度查询</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单位公积金明细</w:t>
            </w:r>
          </w:p>
        </w:tc>
        <w:tc>
          <w:tcPr>
            <w:tcW w:w="0" w:type="auto"/>
            <w:tcBorders>
              <w:top w:val="single" w:color="FCE4D6" w:sz="4" w:space="0"/>
              <w:left w:val="single" w:color="FCE4D6" w:sz="4" w:space="0"/>
              <w:bottom w:val="single" w:color="FCE4D6" w:sz="4" w:space="0"/>
              <w:right w:val="single" w:color="FCE4D6" w:sz="4" w:space="0"/>
            </w:tcBorders>
            <w:shd w:val="clear" w:color="auto" w:fill="FFC000" w:themeFill="accent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个人同城转移</w:t>
            </w:r>
          </w:p>
        </w:tc>
        <w:tc>
          <w:tcPr>
            <w:tcW w:w="0" w:type="auto"/>
            <w:tcBorders>
              <w:top w:val="single" w:color="FCE4D6" w:sz="4" w:space="0"/>
              <w:left w:val="single" w:color="FCE4D6" w:sz="4" w:space="0"/>
              <w:bottom w:val="single" w:color="FCE4D6" w:sz="4" w:space="0"/>
              <w:right w:val="single" w:color="FCE4D6" w:sz="4" w:space="0"/>
            </w:tcBorders>
            <w:shd w:val="clear" w:color="auto" w:fill="F1F1F1" w:themeFill="background1" w:themeFillShade="F2"/>
            <w:noWrap/>
            <w:vAlign w:val="center"/>
          </w:tcPr>
          <w:p>
            <w:pPr>
              <w:jc w:val="center"/>
              <w:rPr>
                <w:rFonts w:hint="eastAsia" w:ascii="宋体" w:hAnsi="宋体" w:eastAsia="宋体" w:cs="宋体"/>
                <w:i w:val="0"/>
                <w:iCs w:val="0"/>
                <w:color w:val="000000"/>
                <w:sz w:val="22"/>
                <w:szCs w:val="22"/>
                <w:u w:val="none"/>
              </w:rPr>
            </w:pPr>
          </w:p>
        </w:tc>
      </w:tr>
    </w:tbl>
    <w:p>
      <w:pPr>
        <w:rPr>
          <w:rFonts w:hint="eastAsia"/>
          <w:b w:val="0"/>
          <w:bCs w:val="0"/>
          <w:sz w:val="24"/>
          <w:szCs w:val="32"/>
          <w:lang w:val="en-US" w:eastAsia="zh-CN"/>
        </w:rPr>
      </w:pPr>
    </w:p>
    <w:p>
      <w:pPr>
        <w:rPr>
          <w:rFonts w:hint="eastAsia"/>
          <w:b w:val="0"/>
          <w:bCs w:val="0"/>
          <w:sz w:val="24"/>
          <w:szCs w:val="32"/>
          <w:lang w:val="en-US" w:eastAsia="zh-CN"/>
        </w:rPr>
      </w:pPr>
      <w:r>
        <w:rPr>
          <w:rFonts w:hint="eastAsia"/>
          <w:b w:val="0"/>
          <w:bCs w:val="0"/>
          <w:sz w:val="24"/>
          <w:szCs w:val="32"/>
          <w:lang w:val="en-US" w:eastAsia="zh-CN"/>
        </w:rPr>
        <w:t>说明：</w:t>
      </w:r>
    </w:p>
    <w:p>
      <w:pPr>
        <w:ind w:firstLine="480" w:firstLineChars="200"/>
        <w:rPr>
          <w:rFonts w:hint="eastAsia"/>
          <w:b w:val="0"/>
          <w:bCs w:val="0"/>
          <w:sz w:val="24"/>
          <w:szCs w:val="32"/>
          <w:lang w:val="en-US" w:eastAsia="zh-CN"/>
        </w:rPr>
      </w:pPr>
      <w:r>
        <w:rPr>
          <w:rFonts w:hint="eastAsia"/>
          <w:b w:val="0"/>
          <w:bCs w:val="0"/>
          <w:sz w:val="24"/>
          <w:szCs w:val="32"/>
          <w:lang w:val="en-US" w:eastAsia="zh-CN"/>
        </w:rPr>
        <w:t>黄色标记功能待下次升级；</w:t>
      </w:r>
    </w:p>
    <w:p>
      <w:pPr>
        <w:rPr>
          <w:rFonts w:hint="eastAsia"/>
          <w:b w:val="0"/>
          <w:bCs w:val="0"/>
          <w:sz w:val="24"/>
          <w:szCs w:val="32"/>
          <w:lang w:val="en-US" w:eastAsia="zh-CN"/>
        </w:rPr>
      </w:pPr>
      <w:r>
        <w:rPr>
          <w:rFonts w:hint="eastAsia"/>
          <w:b w:val="0"/>
          <w:bCs w:val="0"/>
          <w:sz w:val="24"/>
          <w:szCs w:val="32"/>
          <w:lang w:val="en-US" w:eastAsia="zh-CN"/>
        </w:rPr>
        <w:br w:type="page"/>
      </w:r>
    </w:p>
    <w:p>
      <w:pPr>
        <w:ind w:firstLine="480" w:firstLineChars="200"/>
        <w:rPr>
          <w:rFonts w:hint="default"/>
          <w:b w:val="0"/>
          <w:bCs w:val="0"/>
          <w:sz w:val="24"/>
          <w:szCs w:val="32"/>
          <w:lang w:val="en-US" w:eastAsia="zh-CN"/>
        </w:rPr>
        <w:sectPr>
          <w:pgSz w:w="16838" w:h="11906" w:orient="landscape"/>
          <w:pgMar w:top="1803" w:right="1440" w:bottom="1803" w:left="1440" w:header="851" w:footer="992" w:gutter="0"/>
          <w:cols w:space="0" w:num="1"/>
          <w:rtlGutter w:val="0"/>
          <w:docGrid w:type="lines" w:linePitch="319" w:charSpace="0"/>
        </w:sectPr>
      </w:pPr>
    </w:p>
    <w:p>
      <w:pPr>
        <w:ind w:firstLine="562" w:firstLineChars="200"/>
        <w:rPr>
          <w:rFonts w:hint="eastAsia"/>
          <w:b/>
          <w:bCs/>
          <w:sz w:val="28"/>
          <w:szCs w:val="36"/>
          <w:lang w:val="en-US" w:eastAsia="zh-CN"/>
        </w:rPr>
      </w:pPr>
      <w:r>
        <w:rPr>
          <w:rFonts w:hint="eastAsia"/>
          <w:b/>
          <w:bCs/>
          <w:sz w:val="28"/>
          <w:szCs w:val="36"/>
          <w:lang w:val="en-US" w:eastAsia="zh-CN"/>
        </w:rPr>
        <w:t>4、主页面</w:t>
      </w:r>
    </w:p>
    <w:p>
      <w:pPr>
        <w:ind w:firstLine="560" w:firstLineChars="200"/>
        <w:rPr>
          <w:rFonts w:hint="eastAsia"/>
          <w:b w:val="0"/>
          <w:bCs w:val="0"/>
          <w:sz w:val="28"/>
          <w:szCs w:val="36"/>
          <w:lang w:val="en-US" w:eastAsia="zh-CN"/>
        </w:rPr>
      </w:pPr>
      <w:r>
        <w:rPr>
          <w:rFonts w:hint="eastAsia"/>
          <w:b w:val="0"/>
          <w:bCs w:val="0"/>
          <w:sz w:val="28"/>
          <w:szCs w:val="36"/>
          <w:lang w:val="en-US" w:eastAsia="zh-CN"/>
        </w:rPr>
        <w:t>页面设计参考：</w:t>
      </w:r>
    </w:p>
    <w:p>
      <w:pPr>
        <w:ind w:firstLine="560" w:firstLineChars="200"/>
        <w:rPr>
          <w:rFonts w:hint="eastAsia"/>
          <w:b w:val="0"/>
          <w:bCs w:val="0"/>
          <w:sz w:val="28"/>
          <w:szCs w:val="36"/>
          <w:lang w:val="en-US" w:eastAsia="zh-CN"/>
        </w:rPr>
      </w:pPr>
      <w:r>
        <w:rPr>
          <w:rFonts w:hint="eastAsia"/>
          <w:b w:val="0"/>
          <w:bCs w:val="0"/>
          <w:sz w:val="28"/>
          <w:szCs w:val="36"/>
          <w:lang w:val="en-US" w:eastAsia="zh-CN"/>
        </w:rPr>
        <w:t>左上角显示中心LOGO和六安市住房公积金中心字样；</w:t>
      </w:r>
    </w:p>
    <w:p>
      <w:pPr>
        <w:ind w:firstLine="560" w:firstLineChars="200"/>
        <w:rPr>
          <w:rFonts w:hint="default"/>
          <w:b w:val="0"/>
          <w:bCs w:val="0"/>
          <w:sz w:val="28"/>
          <w:szCs w:val="36"/>
          <w:lang w:val="en-US" w:eastAsia="zh-CN"/>
        </w:rPr>
      </w:pPr>
      <w:r>
        <w:rPr>
          <w:rFonts w:hint="eastAsia"/>
          <w:b w:val="0"/>
          <w:bCs w:val="0"/>
          <w:sz w:val="28"/>
          <w:szCs w:val="36"/>
          <w:lang w:val="en-US" w:eastAsia="zh-CN"/>
        </w:rPr>
        <w:t>右上角显示：职工姓名和职工个人账号，若职工有多个账号的，可以在这里下拉进行切换。</w:t>
      </w:r>
    </w:p>
    <w:p>
      <w:pPr>
        <w:ind w:firstLine="560" w:firstLineChars="200"/>
        <w:rPr>
          <w:rFonts w:hint="eastAsia"/>
          <w:b w:val="0"/>
          <w:bCs w:val="0"/>
          <w:sz w:val="28"/>
          <w:szCs w:val="36"/>
          <w:lang w:val="en-US" w:eastAsia="zh-CN"/>
        </w:rPr>
      </w:pPr>
      <w:r>
        <w:rPr>
          <w:rFonts w:hint="eastAsia"/>
          <w:b w:val="0"/>
          <w:bCs w:val="0"/>
          <w:sz w:val="28"/>
          <w:szCs w:val="36"/>
          <w:lang w:val="en-US" w:eastAsia="zh-CN"/>
        </w:rPr>
        <w:t>页面在合适位置设置倒计时，倒计时数到0无操作自动退出账号，展示广告页面。</w:t>
      </w:r>
    </w:p>
    <w:p>
      <w:pPr>
        <w:ind w:firstLine="560" w:firstLineChars="200"/>
        <w:rPr>
          <w:rFonts w:hint="eastAsia"/>
          <w:b w:val="0"/>
          <w:bCs w:val="0"/>
          <w:sz w:val="28"/>
          <w:szCs w:val="36"/>
          <w:lang w:val="en-US" w:eastAsia="zh-CN"/>
        </w:rPr>
      </w:pPr>
      <w:r>
        <w:rPr>
          <w:rFonts w:hint="eastAsia"/>
          <w:b w:val="0"/>
          <w:bCs w:val="0"/>
          <w:sz w:val="28"/>
          <w:szCs w:val="36"/>
          <w:lang w:val="en-US" w:eastAsia="zh-CN"/>
        </w:rPr>
        <w:t>倒计时起始数值可在后台管理系统进行设置；</w:t>
      </w:r>
    </w:p>
    <w:p>
      <w:pPr>
        <w:ind w:firstLine="560" w:firstLineChars="200"/>
        <w:rPr>
          <w:rFonts w:hint="eastAsia"/>
          <w:b w:val="0"/>
          <w:bCs w:val="0"/>
          <w:sz w:val="28"/>
          <w:szCs w:val="36"/>
          <w:lang w:val="en-US" w:eastAsia="zh-CN"/>
        </w:rPr>
      </w:pPr>
      <w:r>
        <w:rPr>
          <w:rFonts w:hint="eastAsia"/>
          <w:b w:val="0"/>
          <w:bCs w:val="0"/>
          <w:sz w:val="28"/>
          <w:szCs w:val="36"/>
          <w:lang w:val="en-US" w:eastAsia="zh-CN"/>
        </w:rPr>
        <w:t>点击任一模块或者切换TAB页面则重新开始计数。</w:t>
      </w:r>
    </w:p>
    <w:p>
      <w:pPr>
        <w:ind w:firstLine="562" w:firstLineChars="200"/>
        <w:rPr>
          <w:rFonts w:hint="default"/>
          <w:b/>
          <w:bCs/>
          <w:color w:val="C00000"/>
          <w:sz w:val="28"/>
          <w:szCs w:val="36"/>
          <w:lang w:val="en-US" w:eastAsia="zh-CN"/>
        </w:rPr>
      </w:pPr>
      <w:r>
        <w:rPr>
          <w:rFonts w:hint="eastAsia"/>
          <w:b/>
          <w:bCs/>
          <w:color w:val="C00000"/>
          <w:sz w:val="28"/>
          <w:szCs w:val="36"/>
          <w:lang w:val="en-US" w:eastAsia="zh-CN"/>
        </w:rPr>
        <w:t>每个模块页面都要能在后台配置温馨提示。</w:t>
      </w:r>
    </w:p>
    <w:p>
      <w:pPr>
        <w:ind w:firstLine="562" w:firstLineChars="200"/>
        <w:rPr>
          <w:rFonts w:hint="default"/>
          <w:b/>
          <w:bCs/>
          <w:sz w:val="28"/>
          <w:szCs w:val="36"/>
          <w:lang w:val="en-US" w:eastAsia="zh-CN"/>
        </w:rPr>
      </w:pPr>
      <w:r>
        <w:rPr>
          <w:rFonts w:hint="eastAsia"/>
          <w:b/>
          <w:bCs/>
          <w:sz w:val="28"/>
          <w:szCs w:val="36"/>
          <w:lang w:val="en-US" w:eastAsia="zh-CN"/>
        </w:rPr>
        <w:t>5、个人中心TAB</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该TAB页设置为默认TAB页。主要功能模块：个人信息查询打印（已有）、个人信息修改、婚姻信息修改。</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（1）个人信息修改</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功能：展示并可以修改职工个人相关信息</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页面调用个人信息查询接口，将查询结果反显到屏幕上。</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页面展示的字段及可修改的内容，大致如下图（红框中内容为可修改内容，其他不可修改）：</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（具体字段及字段取值列表后期再进行详细说明）</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页面展示以上字段系统中的数值，职工在自助机上修改，点击提交，调用个人信息修改接口返回更新结果（成功，或失败原因）。</w:t>
      </w:r>
    </w:p>
    <w:p>
      <w:pPr>
        <w:ind w:firstLine="560" w:firstLineChars="200"/>
        <w:rPr>
          <w:rFonts w:hint="default"/>
          <w:b w:val="0"/>
          <w:bCs w:val="0"/>
          <w:sz w:val="28"/>
          <w:szCs w:val="36"/>
          <w:lang w:val="en-US" w:eastAsia="zh-CN"/>
        </w:rPr>
      </w:pPr>
      <w:r>
        <w:rPr>
          <w:rFonts w:hint="eastAsia"/>
          <w:b w:val="0"/>
          <w:bCs w:val="0"/>
          <w:sz w:val="28"/>
          <w:szCs w:val="36"/>
          <w:highlight w:val="none"/>
          <w:lang w:val="en-US" w:eastAsia="zh-CN"/>
        </w:rPr>
        <w:t>部分字段如手机号、邮政编码、电话号码等需要进行规则校验，如手机号必须是11位，邮编6位，电话需要是区号+号码等。</w:t>
      </w:r>
    </w:p>
    <w:p>
      <w:r>
        <w:drawing>
          <wp:inline distT="0" distB="0" distL="114300" distR="114300">
            <wp:extent cx="5260340" cy="3872865"/>
            <wp:effectExtent l="0" t="0" r="16510"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260340" cy="3872865"/>
                    </a:xfrm>
                    <a:prstGeom prst="rect">
                      <a:avLst/>
                    </a:prstGeom>
                    <a:noFill/>
                    <a:ln>
                      <a:noFill/>
                    </a:ln>
                  </pic:spPr>
                </pic:pic>
              </a:graphicData>
            </a:graphic>
          </wp:inline>
        </w:drawing>
      </w:r>
    </w:p>
    <w:p>
      <w:pPr>
        <w:rPr>
          <w:rFonts w:hint="default"/>
          <w:lang w:val="en-US" w:eastAsia="zh-CN"/>
        </w:rPr>
      </w:pP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（2）婚姻信息修改</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只做大数据能查询到的婚姻信息修改。流程如下：</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调用个人信息查询接口，获取职工配偶信息（婚姻状态、配偶姓名、配偶证件类型、配偶证件号码）。</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调用民政婚姻查询接口，获取职工配偶信息（婚姻状态、配偶姓名、配偶证件类型、配偶证件号码）。</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比对业务系统与大数据的查询接口：</w:t>
      </w:r>
    </w:p>
    <w:p>
      <w:pPr>
        <w:ind w:firstLine="560" w:firstLineChars="200"/>
        <w:rPr>
          <w:rFonts w:hint="eastAsia"/>
          <w:b w:val="0"/>
          <w:bCs w:val="0"/>
          <w:color w:val="2F5597" w:themeColor="accent5" w:themeShade="BF"/>
          <w:sz w:val="28"/>
          <w:szCs w:val="36"/>
          <w:highlight w:val="none"/>
          <w:lang w:val="en-US" w:eastAsia="zh-CN"/>
        </w:rPr>
      </w:pPr>
      <w:r>
        <w:rPr>
          <w:rFonts w:hint="eastAsia"/>
          <w:b w:val="0"/>
          <w:bCs w:val="0"/>
          <w:sz w:val="28"/>
          <w:szCs w:val="36"/>
          <w:highlight w:val="none"/>
          <w:lang w:val="en-US" w:eastAsia="zh-CN"/>
        </w:rPr>
        <w:t>大数据无返回值的，提示：</w:t>
      </w:r>
      <w:r>
        <w:rPr>
          <w:rFonts w:hint="eastAsia"/>
          <w:b w:val="0"/>
          <w:bCs w:val="0"/>
          <w:color w:val="2F5597" w:themeColor="accent5" w:themeShade="BF"/>
          <w:sz w:val="28"/>
          <w:szCs w:val="36"/>
          <w:highlight w:val="none"/>
          <w:lang w:val="en-US" w:eastAsia="zh-CN"/>
        </w:rPr>
        <w:t>民政大数据未查询到您的婚姻数据，您当前在公积金系统中登记的婚姻信息如下：……，如需修改请携带相关证件到柜面办理。</w:t>
      </w:r>
    </w:p>
    <w:p>
      <w:pPr>
        <w:ind w:firstLine="560" w:firstLineChars="200"/>
        <w:rPr>
          <w:rFonts w:hint="eastAsia"/>
          <w:b w:val="0"/>
          <w:bCs w:val="0"/>
          <w:color w:val="2F5597" w:themeColor="accent5" w:themeShade="BF"/>
          <w:sz w:val="28"/>
          <w:szCs w:val="36"/>
          <w:highlight w:val="none"/>
          <w:lang w:val="en-US" w:eastAsia="zh-CN"/>
        </w:rPr>
      </w:pPr>
      <w:r>
        <w:rPr>
          <w:rFonts w:hint="eastAsia"/>
          <w:b w:val="0"/>
          <w:bCs w:val="0"/>
          <w:sz w:val="28"/>
          <w:szCs w:val="36"/>
          <w:highlight w:val="none"/>
          <w:lang w:val="en-US" w:eastAsia="zh-CN"/>
        </w:rPr>
        <w:t>比对一致的，提示</w:t>
      </w:r>
      <w:r>
        <w:rPr>
          <w:rFonts w:hint="eastAsia"/>
          <w:b w:val="0"/>
          <w:bCs w:val="0"/>
          <w:color w:val="2F5597" w:themeColor="accent5" w:themeShade="BF"/>
          <w:sz w:val="28"/>
          <w:szCs w:val="36"/>
          <w:highlight w:val="none"/>
          <w:lang w:val="en-US" w:eastAsia="zh-CN"/>
        </w:rPr>
        <w:t>：民政大数据查询到您的婚姻信息与公积金业务系统中一致，无需修改。</w:t>
      </w:r>
    </w:p>
    <w:p>
      <w:pPr>
        <w:ind w:firstLine="560" w:firstLineChars="200"/>
        <w:rPr>
          <w:rFonts w:hint="default"/>
          <w:b w:val="0"/>
          <w:bCs w:val="0"/>
          <w:sz w:val="28"/>
          <w:szCs w:val="36"/>
          <w:highlight w:val="none"/>
          <w:lang w:val="en-US" w:eastAsia="zh-CN"/>
        </w:rPr>
      </w:pPr>
      <w:r>
        <w:rPr>
          <w:rFonts w:hint="default"/>
          <w:b w:val="0"/>
          <w:bCs w:val="0"/>
          <w:color w:val="2F5597" w:themeColor="accent5" w:themeShade="BF"/>
          <w:sz w:val="28"/>
          <w:szCs w:val="36"/>
          <w:highlight w:val="none"/>
          <w:lang w:val="en-US" w:eastAsia="zh-CN"/>
        </w:rPr>
        <w:drawing>
          <wp:anchor distT="0" distB="0" distL="114300" distR="114300" simplePos="0" relativeHeight="251659264" behindDoc="0" locked="0" layoutInCell="1" allowOverlap="1">
            <wp:simplePos x="0" y="0"/>
            <wp:positionH relativeFrom="column">
              <wp:posOffset>727075</wp:posOffset>
            </wp:positionH>
            <wp:positionV relativeFrom="paragraph">
              <wp:posOffset>1548130</wp:posOffset>
            </wp:positionV>
            <wp:extent cx="4150360" cy="7123430"/>
            <wp:effectExtent l="0" t="0" r="2540" b="0"/>
            <wp:wrapNone/>
            <wp:docPr id="9" name="ECB019B1-382A-4266-B25C-5B523AA43C14-1" descr="C:/Users/Libo/AppData/Local/Temp/wps.qPXcI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Libo/AppData/Local/Temp/wps.qPXcIkwps"/>
                    <pic:cNvPicPr>
                      <a:picLocks noChangeAspect="1"/>
                    </pic:cNvPicPr>
                  </pic:nvPicPr>
                  <pic:blipFill>
                    <a:blip r:embed="rId10"/>
                    <a:stretch>
                      <a:fillRect/>
                    </a:stretch>
                  </pic:blipFill>
                  <pic:spPr>
                    <a:xfrm>
                      <a:off x="0" y="0"/>
                      <a:ext cx="4150360" cy="7123430"/>
                    </a:xfrm>
                    <a:prstGeom prst="rect">
                      <a:avLst/>
                    </a:prstGeom>
                  </pic:spPr>
                </pic:pic>
              </a:graphicData>
            </a:graphic>
          </wp:anchor>
        </w:drawing>
      </w:r>
      <w:r>
        <w:rPr>
          <w:rFonts w:hint="eastAsia"/>
          <w:b w:val="0"/>
          <w:bCs w:val="0"/>
          <w:sz w:val="28"/>
          <w:szCs w:val="36"/>
          <w:highlight w:val="none"/>
          <w:lang w:val="en-US" w:eastAsia="zh-CN"/>
        </w:rPr>
        <w:t>比对不一致的， 在页面中对比显示民政大数据查询结果与业务系统婚姻信息，页面设置更新和返回按钮，点击更新按钮，弹出提示让职工确认，职工确认后调用婚姻信息修改接口，修改职工配偶信息。并将返回的修改结果（是否成功），在页面上告之客户。流程图参考下图：</w:t>
      </w:r>
    </w:p>
    <w:p>
      <w:pPr>
        <w:rPr>
          <w:rFonts w:hint="default"/>
          <w:b w:val="0"/>
          <w:bCs w:val="0"/>
          <w:color w:val="2F5597" w:themeColor="accent5" w:themeShade="BF"/>
          <w:sz w:val="28"/>
          <w:szCs w:val="36"/>
          <w:highlight w:val="none"/>
          <w:lang w:val="en-US" w:eastAsia="zh-CN"/>
        </w:rPr>
      </w:pPr>
      <w:r>
        <w:rPr>
          <w:rFonts w:hint="default"/>
          <w:b w:val="0"/>
          <w:bCs w:val="0"/>
          <w:color w:val="2F5597" w:themeColor="accent5" w:themeShade="BF"/>
          <w:sz w:val="28"/>
          <w:szCs w:val="36"/>
          <w:highlight w:val="none"/>
          <w:lang w:val="en-US" w:eastAsia="zh-CN"/>
        </w:rPr>
        <w:br w:type="page"/>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6、</w:t>
      </w:r>
      <w:r>
        <w:rPr>
          <w:rFonts w:hint="default"/>
          <w:b/>
          <w:bCs/>
          <w:sz w:val="28"/>
          <w:szCs w:val="36"/>
          <w:highlight w:val="none"/>
          <w:lang w:val="en-US" w:eastAsia="zh-CN"/>
        </w:rPr>
        <w:t>提取业务</w:t>
      </w:r>
      <w:r>
        <w:rPr>
          <w:rFonts w:hint="eastAsia"/>
          <w:b/>
          <w:bCs/>
          <w:sz w:val="28"/>
          <w:szCs w:val="36"/>
          <w:highlight w:val="none"/>
          <w:lang w:val="en-US" w:eastAsia="zh-CN"/>
        </w:rPr>
        <w:t>TAB</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（1）</w:t>
      </w:r>
      <w:r>
        <w:rPr>
          <w:rFonts w:hint="default"/>
          <w:b/>
          <w:bCs/>
          <w:sz w:val="28"/>
          <w:szCs w:val="36"/>
          <w:highlight w:val="none"/>
          <w:lang w:val="en-US" w:eastAsia="zh-CN"/>
        </w:rPr>
        <w:t>租房提取</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调用提取材料查询接口校验职工是否存在有效的租房提取材料，若存在，返显相关信息，不存在则新建提取材料并由职工录入信息；</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新建提取材料的，调用不动产大数据接口，校验职工在缴存地是否有不动产，有不动产的，弹出提示，不能提取。</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职工录入提取信息（返显信息不可修改），银行卡号可以通过读卡器读入并修改，点击提交，调用摄像头拍摄现场照片，调用租房提取办理接口，提交办理申请，成功办理的，调用提取影像上传接口，将现场照片、大数据查询及登录信息等生成的pdf或图片文件传送到影像系统，根据接口返回结果返显业务办理情况。</w:t>
      </w:r>
    </w:p>
    <w:p>
      <w:pPr>
        <w:rPr>
          <w:rFonts w:hint="eastAsia" w:ascii="仿宋_GB2312" w:hAnsi="仿宋_GB2312" w:eastAsia="仿宋_GB2312" w:cs="仿宋_GB2312"/>
          <w:b w:val="0"/>
          <w:bCs w:val="0"/>
          <w:i/>
          <w:iCs/>
          <w:sz w:val="28"/>
          <w:szCs w:val="36"/>
          <w:highlight w:val="none"/>
          <w:lang w:val="en-US" w:eastAsia="zh-CN"/>
        </w:rPr>
      </w:pPr>
      <w:r>
        <w:rPr>
          <w:rFonts w:hint="eastAsia" w:ascii="仿宋_GB2312" w:hAnsi="仿宋_GB2312" w:eastAsia="仿宋_GB2312" w:cs="仿宋_GB2312"/>
          <w:b w:val="0"/>
          <w:bCs w:val="0"/>
          <w:i/>
          <w:iCs/>
          <w:sz w:val="28"/>
          <w:szCs w:val="36"/>
          <w:highlight w:val="none"/>
          <w:lang w:val="en-US" w:eastAsia="zh-CN"/>
        </w:rPr>
        <w:t>网厅租房提取页面：</w:t>
      </w:r>
    </w:p>
    <w:p>
      <w:pPr>
        <w:rPr>
          <w:rFonts w:hint="default"/>
          <w:b w:val="0"/>
          <w:bCs w:val="0"/>
          <w:sz w:val="28"/>
          <w:szCs w:val="36"/>
          <w:highlight w:val="none"/>
          <w:lang w:val="en-US" w:eastAsia="zh-CN"/>
        </w:rPr>
      </w:pPr>
      <w:r>
        <w:rPr>
          <w:highlight w:val="none"/>
        </w:rPr>
        <w:drawing>
          <wp:inline distT="0" distB="0" distL="114300" distR="114300">
            <wp:extent cx="5269230" cy="2299335"/>
            <wp:effectExtent l="0" t="0" r="7620" b="571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1"/>
                    <a:stretch>
                      <a:fillRect/>
                    </a:stretch>
                  </pic:blipFill>
                  <pic:spPr>
                    <a:xfrm>
                      <a:off x="0" y="0"/>
                      <a:ext cx="5269230" cy="2299335"/>
                    </a:xfrm>
                    <a:prstGeom prst="rect">
                      <a:avLst/>
                    </a:prstGeom>
                    <a:noFill/>
                    <a:ln>
                      <a:noFill/>
                    </a:ln>
                  </pic:spPr>
                </pic:pic>
              </a:graphicData>
            </a:graphic>
          </wp:inline>
        </w:drawing>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（2）</w:t>
      </w:r>
      <w:r>
        <w:rPr>
          <w:rFonts w:hint="default"/>
          <w:b/>
          <w:bCs/>
          <w:sz w:val="28"/>
          <w:szCs w:val="36"/>
          <w:highlight w:val="none"/>
          <w:lang w:val="en-US" w:eastAsia="zh-CN"/>
        </w:rPr>
        <w:t>退休提取</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校验职工状态是否为封存，不是封存状态弹出提示，不能办理。</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调用社保大数据接口，校验职工是否为离休或退休，若不是则弹出提示，不能办理。</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页面返显提取金额，职工需要修改银行卡号的，调用读卡器读入职工银行卡号。</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点击提交，调用摄像头拍摄现场照，调用退休提取接口，成功办理的，调用提取影像上传接口，将现场照片、大数据查询及登录信息等生成的pdf或图片文件传送到影像系统，根据接口返回结果返显业务办理情况。</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（3）</w:t>
      </w:r>
      <w:r>
        <w:rPr>
          <w:rFonts w:hint="default"/>
          <w:b/>
          <w:bCs/>
          <w:sz w:val="28"/>
          <w:szCs w:val="36"/>
          <w:highlight w:val="none"/>
          <w:lang w:val="en-US" w:eastAsia="zh-CN"/>
        </w:rPr>
        <w:t>解除劳动合同提取</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需判断职工封存是否满两年，其他参照退休提取业务。</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（4）</w:t>
      </w:r>
      <w:r>
        <w:rPr>
          <w:rFonts w:hint="default"/>
          <w:b/>
          <w:bCs/>
          <w:sz w:val="28"/>
          <w:szCs w:val="36"/>
          <w:highlight w:val="none"/>
          <w:lang w:val="en-US" w:eastAsia="zh-CN"/>
        </w:rPr>
        <w:t>购</w:t>
      </w:r>
      <w:r>
        <w:rPr>
          <w:rFonts w:hint="eastAsia"/>
          <w:b/>
          <w:bCs/>
          <w:sz w:val="28"/>
          <w:szCs w:val="36"/>
          <w:highlight w:val="none"/>
          <w:lang w:val="en-US" w:eastAsia="zh-CN"/>
        </w:rPr>
        <w:t>买</w:t>
      </w:r>
      <w:r>
        <w:rPr>
          <w:rFonts w:hint="default"/>
          <w:b/>
          <w:bCs/>
          <w:sz w:val="28"/>
          <w:szCs w:val="36"/>
          <w:highlight w:val="none"/>
          <w:lang w:val="en-US" w:eastAsia="zh-CN"/>
        </w:rPr>
        <w:t>商品房提取</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首先判断职工是否存在有效的购买商品房提取材料，若没有则由职工输入商品房交易备案号，系统自动读取大数据，并根据六安市住房公积金提取业务操作规范，确定职工是否符合提取条件及提取额度；若有则套用提取材料，返显相关信息，其他参照退休提取业务。</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（5）</w:t>
      </w:r>
      <w:r>
        <w:rPr>
          <w:rFonts w:hint="default"/>
          <w:b/>
          <w:bCs/>
          <w:sz w:val="28"/>
          <w:szCs w:val="36"/>
          <w:highlight w:val="none"/>
          <w:lang w:val="en-US" w:eastAsia="zh-CN"/>
        </w:rPr>
        <w:t>购二手房提取</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首先判断职工是否存在有效的购买二手房提取材料，若没有则由职工输入存量房交易备案号，系统自动读取大数据，并根据六安市住房公积金提取业务操作规范，确定职工是否符合提取条件及提取额度；若有则套用提取材料，返显相关信息，其他参照退休提取业务。</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7、</w:t>
      </w:r>
      <w:r>
        <w:rPr>
          <w:rFonts w:hint="default"/>
          <w:b/>
          <w:bCs/>
          <w:sz w:val="28"/>
          <w:szCs w:val="36"/>
          <w:highlight w:val="none"/>
          <w:lang w:val="en-US" w:eastAsia="zh-CN"/>
        </w:rPr>
        <w:t>贷款业务</w:t>
      </w:r>
      <w:r>
        <w:rPr>
          <w:rFonts w:hint="eastAsia"/>
          <w:b/>
          <w:bCs/>
          <w:sz w:val="28"/>
          <w:szCs w:val="36"/>
          <w:highlight w:val="none"/>
          <w:lang w:val="en-US" w:eastAsia="zh-CN"/>
        </w:rPr>
        <w:t>TAB</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（1）</w:t>
      </w:r>
      <w:r>
        <w:rPr>
          <w:rFonts w:hint="default"/>
          <w:b/>
          <w:bCs/>
          <w:sz w:val="28"/>
          <w:szCs w:val="36"/>
          <w:highlight w:val="none"/>
          <w:lang w:val="en-US" w:eastAsia="zh-CN"/>
        </w:rPr>
        <w:t>提前还款</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页面上半部分显示职工当前贷款信息，下方设置预约现金还款、公积金直冲还款两个按钮，页面参考图：</w:t>
      </w:r>
    </w:p>
    <w:p>
      <w:pPr>
        <w:jc w:val="center"/>
        <w:rPr>
          <w:rFonts w:hint="default"/>
          <w:b w:val="0"/>
          <w:bCs w:val="0"/>
          <w:sz w:val="28"/>
          <w:szCs w:val="36"/>
          <w:highlight w:val="none"/>
          <w:lang w:val="en-US" w:eastAsia="zh-CN"/>
        </w:rPr>
      </w:pPr>
      <w:r>
        <w:rPr>
          <w:highlight w:val="none"/>
        </w:rPr>
        <w:drawing>
          <wp:inline distT="0" distB="0" distL="114300" distR="114300">
            <wp:extent cx="5267960" cy="3474720"/>
            <wp:effectExtent l="0" t="0" r="8890" b="1143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5267960" cy="3474720"/>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中心提前还款有两种方式：预约现金还款和公积金直冲还款，两种还款方式中又都可以选择提前部分还款和提前结清，页面中可以使用下拉选择由职工选择，默认为提前部分还款。</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①预约现金还款</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页面参考下图：</w:t>
      </w:r>
    </w:p>
    <w:p>
      <w:pPr>
        <w:rPr>
          <w:rFonts w:hint="eastAsia"/>
          <w:b w:val="0"/>
          <w:bCs w:val="0"/>
          <w:sz w:val="28"/>
          <w:szCs w:val="36"/>
          <w:highlight w:val="none"/>
          <w:lang w:val="en-US" w:eastAsia="zh-CN"/>
        </w:rPr>
      </w:pPr>
      <w:r>
        <w:rPr>
          <w:highlight w:val="none"/>
        </w:rPr>
        <w:drawing>
          <wp:inline distT="0" distB="0" distL="114300" distR="114300">
            <wp:extent cx="5261610" cy="2966085"/>
            <wp:effectExtent l="0" t="0" r="15240" b="571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5261610" cy="2966085"/>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职工需要选择预约还款日期和输入提前还款总额，点击“还款测算”按钮测算后才能提交</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预约还款日期只能选择下一个营业日至职工还款日前一天之间的营业日，需要调用营业日查询接口，非营业日不能预约</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●提前还款总额，提前部分还款需要进行规则控制，规则如下：</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后台设置参数控制还款起步金额，当前设置为3万元；</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后台设置参数控制还款最小单位，当前设置为万元；</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即：当前控制为3万元以下，且只能以万元为单位递增，如4万、6万；另不能超过贷款余额，不符合条件的弹出提示信息。</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考虑到后期可能会出现的政策调整，管理后台最小还款单位可选择万元或者千元。即可能后期允许职工输入31000元，42000元。</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点击还款测算按钮，调用提前还款测算接口，并将测算结果反显到页面中，提交按钮置为有效。</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●对于提前结清，职工不可以输入还款金额，选择了预约还款日期后，自动触发还款测算，调用提前还款测算接口，并将测算结果反显到页面中，同时将还款测算按钮置为不可用。</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点击提交按钮，页面弹出还款信息提示，请职工确认，职工确认后，调用提前还款办理接口，并弹出提示，将还款业务提交是否成功在页面上提示职工。</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②公积金直冲还款</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页面参考：</w:t>
      </w:r>
    </w:p>
    <w:p>
      <w:pPr>
        <w:rPr>
          <w:rFonts w:hint="default"/>
          <w:b w:val="0"/>
          <w:bCs w:val="0"/>
          <w:sz w:val="28"/>
          <w:szCs w:val="36"/>
          <w:highlight w:val="none"/>
          <w:lang w:val="en-US" w:eastAsia="zh-CN"/>
        </w:rPr>
      </w:pPr>
      <w:r>
        <w:rPr>
          <w:highlight w:val="none"/>
        </w:rPr>
        <w:drawing>
          <wp:inline distT="0" distB="0" distL="114300" distR="114300">
            <wp:extent cx="5263515" cy="2956560"/>
            <wp:effectExtent l="0" t="0" r="13335" b="1524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4"/>
                    <a:stretch>
                      <a:fillRect/>
                    </a:stretch>
                  </pic:blipFill>
                  <pic:spPr>
                    <a:xfrm>
                      <a:off x="0" y="0"/>
                      <a:ext cx="5263515" cy="2956560"/>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页面调用贷款信息查询接口，反显贷款余额、职工本人公积金余额、下次还款日期；</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提前还款总额控制规则除了预约现金还款金额控制规则之外，还不能超过职工当前公积金账户余额。</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提前部分还款，职工录入金额并校验规则通过后，调用提前还款测算接口，并将测算结果反显在页面中。同时提交按钮置为有效。</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点击提交按钮，页面弹出还款信息提示，请职工确认，职工确认后，调用提前还款办理接口，并弹出提示，将还款业务提交是否成功在页面上提示职工。</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（2）</w:t>
      </w:r>
      <w:r>
        <w:rPr>
          <w:rFonts w:hint="default"/>
          <w:b/>
          <w:bCs/>
          <w:sz w:val="28"/>
          <w:szCs w:val="36"/>
          <w:highlight w:val="none"/>
          <w:lang w:val="en-US" w:eastAsia="zh-CN"/>
        </w:rPr>
        <w:t>修改还款卡号</w:t>
      </w:r>
    </w:p>
    <w:p>
      <w:pPr>
        <w:rPr>
          <w:highlight w:val="none"/>
        </w:rPr>
      </w:pPr>
      <w:r>
        <w:rPr>
          <w:highlight w:val="none"/>
        </w:rPr>
        <w:drawing>
          <wp:inline distT="0" distB="0" distL="114300" distR="114300">
            <wp:extent cx="5266690" cy="3295650"/>
            <wp:effectExtent l="0" t="0" r="1016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5"/>
                    <a:stretch>
                      <a:fillRect/>
                    </a:stretch>
                  </pic:blipFill>
                  <pic:spPr>
                    <a:xfrm>
                      <a:off x="0" y="0"/>
                      <a:ext cx="5266690" cy="3295650"/>
                    </a:xfrm>
                    <a:prstGeom prst="rect">
                      <a:avLst/>
                    </a:prstGeom>
                    <a:noFill/>
                    <a:ln>
                      <a:noFill/>
                    </a:ln>
                  </pic:spPr>
                </pic:pic>
              </a:graphicData>
            </a:graphic>
          </wp:inline>
        </w:drawing>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（3）</w:t>
      </w:r>
      <w:r>
        <w:rPr>
          <w:rFonts w:hint="default"/>
          <w:b/>
          <w:bCs/>
          <w:sz w:val="28"/>
          <w:szCs w:val="36"/>
          <w:highlight w:val="none"/>
          <w:lang w:val="en-US" w:eastAsia="zh-CN"/>
        </w:rPr>
        <w:t>贷款额度测算</w:t>
      </w:r>
    </w:p>
    <w:p>
      <w:pPr>
        <w:ind w:firstLine="560" w:firstLineChars="200"/>
        <w:rPr>
          <w:rFonts w:hint="default"/>
          <w:b/>
          <w:bCs/>
          <w:sz w:val="28"/>
          <w:szCs w:val="36"/>
          <w:highlight w:val="none"/>
          <w:lang w:val="en-US" w:eastAsia="zh-CN"/>
        </w:rPr>
      </w:pPr>
      <w:r>
        <w:rPr>
          <w:rFonts w:hint="eastAsia"/>
          <w:b w:val="0"/>
          <w:bCs w:val="0"/>
          <w:sz w:val="28"/>
          <w:szCs w:val="36"/>
          <w:highlight w:val="none"/>
          <w:lang w:val="en-US" w:eastAsia="zh-CN"/>
        </w:rPr>
        <w:t>页面参考上图，调用贷款信息查询接口，查询职工还款卡信息并反显到页面中，管理后台设置参数配置，银行卡号是否只能通过读卡器获取（即是否可以手工录入）；</w:t>
      </w:r>
    </w:p>
    <w:p>
      <w:pPr>
        <w:rPr>
          <w:highlight w:val="none"/>
        </w:rPr>
      </w:pPr>
      <w:r>
        <w:rPr>
          <w:highlight w:val="none"/>
        </w:rPr>
        <w:drawing>
          <wp:inline distT="0" distB="0" distL="114300" distR="114300">
            <wp:extent cx="5266690" cy="2959735"/>
            <wp:effectExtent l="0" t="0" r="10160" b="1206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6"/>
                    <a:stretch>
                      <a:fillRect/>
                    </a:stretch>
                  </pic:blipFill>
                  <pic:spPr>
                    <a:xfrm>
                      <a:off x="0" y="0"/>
                      <a:ext cx="5266690" cy="2959735"/>
                    </a:xfrm>
                    <a:prstGeom prst="rect">
                      <a:avLst/>
                    </a:prstGeom>
                    <a:noFill/>
                    <a:ln>
                      <a:noFill/>
                    </a:ln>
                  </pic:spPr>
                </pic:pic>
              </a:graphicData>
            </a:graphic>
          </wp:inline>
        </w:drawing>
      </w:r>
    </w:p>
    <w:p>
      <w:pPr>
        <w:ind w:firstLine="560" w:firstLineChars="200"/>
        <w:rPr>
          <w:rFonts w:hint="default"/>
          <w:b/>
          <w:bCs/>
          <w:sz w:val="28"/>
          <w:szCs w:val="36"/>
          <w:highlight w:val="none"/>
          <w:lang w:val="en-US" w:eastAsia="zh-CN"/>
        </w:rPr>
      </w:pPr>
      <w:r>
        <w:rPr>
          <w:rFonts w:hint="eastAsia"/>
          <w:b w:val="0"/>
          <w:bCs w:val="0"/>
          <w:sz w:val="28"/>
          <w:szCs w:val="36"/>
          <w:highlight w:val="none"/>
          <w:lang w:val="en-US" w:eastAsia="zh-CN"/>
        </w:rPr>
        <w:t>点击读卡按钮，弹出读银行卡提示页面，获取银行卡号，若可能的话校验是否为指定开户银行的储蓄卡，点击提交，调用还款卡修改接口，根据接口返回情况提示职工是否成功办理。（页面也配置温馨提示，以下所有页面均需配置温馨提示，后面不再赘述）</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调用职工基本信息接口，查询职工配偶信息；调用职工公积金信息接口，查询职工及配偶的账号、月缴额、缴存基数等信息反显在页面上。</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点击额度测算，首先调用贷款资格验证接口（如果有的话），确认职工可以贷款，若不符合贷款条件弹出提示，不予计算；校验资格通过后，调用贷款额度测算接口，并将返回结果弹出提示显示在页面中。</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（4）</w:t>
      </w:r>
      <w:r>
        <w:rPr>
          <w:rFonts w:hint="default"/>
          <w:b/>
          <w:bCs/>
          <w:sz w:val="28"/>
          <w:szCs w:val="36"/>
          <w:highlight w:val="none"/>
          <w:lang w:val="en-US" w:eastAsia="zh-CN"/>
        </w:rPr>
        <w:t>还款计划表查询</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首先判断职工本人或配偶名下是否有未结清的贷款：</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若没有，弹出提示：您当前没有未结清的贷款，点击确定按钮返回上一层。</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若有，调用还款计划查询接口，并将职工还款计划数据显示于页面中。页面还款计划信息大致如下：</w:t>
      </w:r>
    </w:p>
    <w:p>
      <w:pPr>
        <w:rPr>
          <w:highlight w:val="none"/>
        </w:rPr>
      </w:pPr>
      <w:r>
        <w:rPr>
          <w:highlight w:val="none"/>
        </w:rPr>
        <w:drawing>
          <wp:inline distT="0" distB="0" distL="114300" distR="114300">
            <wp:extent cx="5264150" cy="1349375"/>
            <wp:effectExtent l="0" t="0" r="12700" b="317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17"/>
                    <a:stretch>
                      <a:fillRect/>
                    </a:stretch>
                  </pic:blipFill>
                  <pic:spPr>
                    <a:xfrm>
                      <a:off x="0" y="0"/>
                      <a:ext cx="5264150" cy="1349375"/>
                    </a:xfrm>
                    <a:prstGeom prst="rect">
                      <a:avLst/>
                    </a:prstGeom>
                    <a:noFill/>
                    <a:ln>
                      <a:noFill/>
                    </a:ln>
                  </pic:spPr>
                </pic:pic>
              </a:graphicData>
            </a:graphic>
          </wp:inline>
        </w:drawing>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若数据条数太多页面显示不下需要实现滚动条查看。</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（5）</w:t>
      </w:r>
      <w:r>
        <w:rPr>
          <w:rFonts w:hint="default"/>
          <w:b/>
          <w:bCs/>
          <w:sz w:val="28"/>
          <w:szCs w:val="36"/>
          <w:highlight w:val="none"/>
          <w:lang w:val="en-US" w:eastAsia="zh-CN"/>
        </w:rPr>
        <w:t>贷款结清证明</w:t>
      </w:r>
      <w:r>
        <w:rPr>
          <w:rFonts w:hint="eastAsia"/>
          <w:b/>
          <w:bCs/>
          <w:sz w:val="28"/>
          <w:szCs w:val="36"/>
          <w:highlight w:val="none"/>
          <w:lang w:val="en-US" w:eastAsia="zh-CN"/>
        </w:rPr>
        <w:t>（使用原自助机页面）</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（6）</w:t>
      </w:r>
      <w:r>
        <w:rPr>
          <w:rFonts w:hint="default"/>
          <w:b/>
          <w:bCs/>
          <w:sz w:val="28"/>
          <w:szCs w:val="36"/>
          <w:highlight w:val="none"/>
          <w:lang w:val="en-US" w:eastAsia="zh-CN"/>
        </w:rPr>
        <w:t>贷款信息查询打印</w:t>
      </w:r>
      <w:r>
        <w:rPr>
          <w:rFonts w:hint="eastAsia"/>
          <w:b/>
          <w:bCs/>
          <w:sz w:val="28"/>
          <w:szCs w:val="36"/>
          <w:highlight w:val="none"/>
          <w:lang w:val="en-US" w:eastAsia="zh-CN"/>
        </w:rPr>
        <w:t>使用（使用原自助机页面）</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（7）</w:t>
      </w:r>
      <w:r>
        <w:rPr>
          <w:rFonts w:hint="default"/>
          <w:b/>
          <w:bCs/>
          <w:sz w:val="28"/>
          <w:szCs w:val="36"/>
          <w:highlight w:val="none"/>
          <w:lang w:val="en-US" w:eastAsia="zh-CN"/>
        </w:rPr>
        <w:t>异地贷款公积金缴存证明</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当前自助机已有该功能，页面需要修改，页面需要能够录入贷款地公积金中心名称，参考下图：</w:t>
      </w:r>
    </w:p>
    <w:p>
      <w:pPr>
        <w:rPr>
          <w:highlight w:val="none"/>
        </w:rPr>
      </w:pPr>
      <w:r>
        <w:rPr>
          <w:highlight w:val="none"/>
        </w:rPr>
        <w:drawing>
          <wp:inline distT="0" distB="0" distL="114300" distR="114300">
            <wp:extent cx="5267960" cy="2966085"/>
            <wp:effectExtent l="0" t="0" r="8890" b="571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18"/>
                    <a:stretch>
                      <a:fillRect/>
                    </a:stretch>
                  </pic:blipFill>
                  <pic:spPr>
                    <a:xfrm>
                      <a:off x="0" y="0"/>
                      <a:ext cx="5267960" cy="2966085"/>
                    </a:xfrm>
                    <a:prstGeom prst="rect">
                      <a:avLst/>
                    </a:prstGeom>
                    <a:noFill/>
                    <a:ln>
                      <a:noFill/>
                    </a:ln>
                  </pic:spPr>
                </pic:pic>
              </a:graphicData>
            </a:graphic>
          </wp:inline>
        </w:drawing>
      </w:r>
    </w:p>
    <w:p>
      <w:pPr>
        <w:ind w:firstLine="560" w:firstLineChars="200"/>
        <w:rPr>
          <w:rFonts w:hint="default"/>
          <w:b w:val="0"/>
          <w:bCs w:val="0"/>
          <w:sz w:val="28"/>
          <w:szCs w:val="36"/>
          <w:highlight w:val="none"/>
          <w:lang w:val="en-US" w:eastAsia="zh-CN"/>
        </w:rPr>
      </w:pPr>
      <w:r>
        <w:rPr>
          <w:rFonts w:hint="eastAsia"/>
          <w:b w:val="0"/>
          <w:bCs w:val="0"/>
          <w:i/>
          <w:iCs/>
          <w:sz w:val="28"/>
          <w:szCs w:val="36"/>
          <w:highlight w:val="none"/>
          <w:lang w:val="en-US" w:eastAsia="zh-CN"/>
        </w:rPr>
        <w:t>待确定是否需要调用接口生成，若重新开发，则调用异地贷款证明接口，根据返回结果进行打印（页面可能要根据历史异贷证明开立情况判断是否需要开立，生成结果可能是pdf文件，直接打印）。</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（8）</w:t>
      </w:r>
      <w:r>
        <w:rPr>
          <w:rFonts w:hint="default"/>
          <w:b/>
          <w:bCs/>
          <w:sz w:val="28"/>
          <w:szCs w:val="36"/>
          <w:highlight w:val="none"/>
          <w:lang w:val="en-US" w:eastAsia="zh-CN"/>
        </w:rPr>
        <w:t>贷款进度查询</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调用贷款进度查询接口，查询职工本人名称公积金贷款进度情况，将查询结果返显在页面中。页面参考：</w:t>
      </w:r>
    </w:p>
    <w:p>
      <w:pPr>
        <w:rPr>
          <w:rFonts w:hint="default"/>
          <w:b w:val="0"/>
          <w:bCs w:val="0"/>
          <w:sz w:val="28"/>
          <w:szCs w:val="36"/>
          <w:highlight w:val="none"/>
          <w:lang w:val="en-US" w:eastAsia="zh-CN"/>
        </w:rPr>
      </w:pPr>
      <w:r>
        <w:rPr>
          <w:highlight w:val="none"/>
        </w:rPr>
        <w:drawing>
          <wp:inline distT="0" distB="0" distL="114300" distR="114300">
            <wp:extent cx="5264785" cy="3594100"/>
            <wp:effectExtent l="0" t="0" r="12065" b="635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9"/>
                    <a:stretch>
                      <a:fillRect/>
                    </a:stretch>
                  </pic:blipFill>
                  <pic:spPr>
                    <a:xfrm>
                      <a:off x="0" y="0"/>
                      <a:ext cx="5264785" cy="3594100"/>
                    </a:xfrm>
                    <a:prstGeom prst="rect">
                      <a:avLst/>
                    </a:prstGeom>
                    <a:noFill/>
                    <a:ln>
                      <a:noFill/>
                    </a:ln>
                  </pic:spPr>
                </pic:pic>
              </a:graphicData>
            </a:graphic>
          </wp:inline>
        </w:drawing>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（9）</w:t>
      </w:r>
      <w:r>
        <w:rPr>
          <w:rFonts w:hint="default"/>
          <w:b/>
          <w:bCs/>
          <w:sz w:val="28"/>
          <w:szCs w:val="36"/>
          <w:highlight w:val="none"/>
          <w:lang w:val="en-US" w:eastAsia="zh-CN"/>
        </w:rPr>
        <w:t>冲还贷签约及查询</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调用职工冲还贷信息查询接口，查询职工冲还贷签约情况，显示在页面中；</w:t>
      </w:r>
    </w:p>
    <w:p>
      <w:pPr>
        <w:rPr>
          <w:rFonts w:hint="default"/>
          <w:b w:val="0"/>
          <w:bCs w:val="0"/>
          <w:sz w:val="28"/>
          <w:szCs w:val="36"/>
          <w:highlight w:val="none"/>
          <w:lang w:val="en-US" w:eastAsia="zh-CN"/>
        </w:rPr>
      </w:pPr>
      <w:r>
        <w:rPr>
          <w:highlight w:val="none"/>
        </w:rPr>
        <w:drawing>
          <wp:inline distT="0" distB="0" distL="114300" distR="114300">
            <wp:extent cx="4850765" cy="2683510"/>
            <wp:effectExtent l="0" t="0" r="6985" b="254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0"/>
                    <a:stretch>
                      <a:fillRect/>
                    </a:stretch>
                  </pic:blipFill>
                  <pic:spPr>
                    <a:xfrm>
                      <a:off x="0" y="0"/>
                      <a:ext cx="4850765" cy="2683510"/>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职工无有效的公积金冲还贷的，管理后台配置参数，是否允许职工本人签约冲还贷，页面根据参数确定是否显示新增冲还贷签约按钮。</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新增冲还贷签约，弹出签约协议，职工确定后调用摄像头拍摄现场照片，调用冲还贷签约接口，成功办理的，调用冲还贷影像上传接口，将现场照片和登录办理信息生成的pdf或图片文件上传影像系统，并将办理情况返显在弹出窗口中。</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点击查询冲还贷明细按钮，调用冲还贷明细查询接口，并将查询结果反显在页面中，页面设置打印按钮，职工可以打印冲还贷明细。</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明细信息大致如下：</w:t>
      </w:r>
    </w:p>
    <w:p>
      <w:pPr>
        <w:ind w:firstLine="420" w:firstLineChars="200"/>
        <w:rPr>
          <w:rFonts w:hint="default"/>
          <w:b w:val="0"/>
          <w:bCs w:val="0"/>
          <w:sz w:val="28"/>
          <w:szCs w:val="36"/>
          <w:highlight w:val="none"/>
          <w:lang w:val="en-US" w:eastAsia="zh-CN"/>
        </w:rPr>
      </w:pPr>
      <w:r>
        <w:rPr>
          <w:highlight w:val="none"/>
        </w:rPr>
        <w:drawing>
          <wp:inline distT="0" distB="0" distL="114300" distR="114300">
            <wp:extent cx="5264785" cy="1525905"/>
            <wp:effectExtent l="0" t="0" r="12065" b="1714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21"/>
                    <a:stretch>
                      <a:fillRect/>
                    </a:stretch>
                  </pic:blipFill>
                  <pic:spPr>
                    <a:xfrm>
                      <a:off x="0" y="0"/>
                      <a:ext cx="5264785" cy="1525905"/>
                    </a:xfrm>
                    <a:prstGeom prst="rect">
                      <a:avLst/>
                    </a:prstGeom>
                    <a:noFill/>
                    <a:ln>
                      <a:noFill/>
                    </a:ln>
                  </pic:spPr>
                </pic:pic>
              </a:graphicData>
            </a:graphic>
          </wp:inline>
        </w:drawing>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8、查询打印TAB</w:t>
      </w:r>
    </w:p>
    <w:p>
      <w:pPr>
        <w:ind w:firstLine="560" w:firstLineChars="200"/>
        <w:rPr>
          <w:rFonts w:hint="default"/>
          <w:b/>
          <w:bCs/>
          <w:sz w:val="28"/>
          <w:szCs w:val="36"/>
          <w:highlight w:val="none"/>
          <w:lang w:val="en-US" w:eastAsia="zh-CN"/>
        </w:rPr>
      </w:pPr>
      <w:r>
        <w:rPr>
          <w:rFonts w:hint="eastAsia"/>
          <w:b w:val="0"/>
          <w:bCs w:val="0"/>
          <w:sz w:val="28"/>
          <w:szCs w:val="36"/>
          <w:highlight w:val="none"/>
          <w:lang w:val="en-US" w:eastAsia="zh-CN"/>
        </w:rPr>
        <w:t>该功能里的模块基本为原有模块，异地贷款证明模块需要改造。</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9、单位业务TAB</w:t>
      </w:r>
    </w:p>
    <w:p>
      <w:pPr>
        <w:ind w:firstLine="560" w:firstLineChars="200"/>
        <w:rPr>
          <w:rFonts w:hint="default"/>
          <w:b/>
          <w:bCs/>
          <w:sz w:val="28"/>
          <w:szCs w:val="36"/>
          <w:highlight w:val="none"/>
          <w:lang w:val="en-US" w:eastAsia="zh-CN"/>
        </w:rPr>
      </w:pPr>
      <w:r>
        <w:rPr>
          <w:rFonts w:hint="eastAsia"/>
          <w:b w:val="0"/>
          <w:bCs w:val="0"/>
          <w:sz w:val="28"/>
          <w:szCs w:val="36"/>
          <w:highlight w:val="none"/>
          <w:lang w:val="en-US" w:eastAsia="zh-CN"/>
        </w:rPr>
        <w:t>职工身份证号码为单位经办人的，能够看到此TAB页。单位信息查询打印、单位缴款收据、单位汇（补）缴书、单位公积金明细为当前自助机已有功能。</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（1）单位信息修改</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与个人信息修改功能基本相同。页面调用单位信息查询接口，将查询结果反显到屏幕上。单位经办人在自助机上修改，点击提交，调用单位信息修改接口返回更新结果（成功，或失败原因）。</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（2）单位缴存证明</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模板大致如下：</w:t>
      </w:r>
    </w:p>
    <w:p>
      <w:pPr>
        <w:rPr>
          <w:rFonts w:hint="default"/>
          <w:b/>
          <w:bCs/>
          <w:sz w:val="28"/>
          <w:szCs w:val="36"/>
          <w:highlight w:val="none"/>
          <w:lang w:val="en-US" w:eastAsia="zh-CN"/>
        </w:rPr>
      </w:pPr>
      <w:r>
        <w:rPr>
          <w:highlight w:val="none"/>
        </w:rPr>
        <w:drawing>
          <wp:inline distT="0" distB="0" distL="114300" distR="114300">
            <wp:extent cx="5269230" cy="3660140"/>
            <wp:effectExtent l="0" t="0" r="7620" b="16510"/>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22"/>
                    <a:srcRect t="3853"/>
                    <a:stretch>
                      <a:fillRect/>
                    </a:stretch>
                  </pic:blipFill>
                  <pic:spPr>
                    <a:xfrm>
                      <a:off x="0" y="0"/>
                      <a:ext cx="5269230" cy="3660140"/>
                    </a:xfrm>
                    <a:prstGeom prst="rect">
                      <a:avLst/>
                    </a:prstGeom>
                    <a:noFill/>
                    <a:ln>
                      <a:noFill/>
                    </a:ln>
                  </pic:spPr>
                </pic:pic>
              </a:graphicData>
            </a:graphic>
          </wp:inline>
        </w:drawing>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（3）个人封存、启封</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简述：该功能针对经办人所在单位某一个职工进行操作，页面上要实现查询、选择本单位职工的功能（如查询“张三”，选择名叫张三的职工进行操作，或者通过输入账号、读取身份证进行查询，姓名查询要实现模糊查询）</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如果职工当前状态为正常，则按钮为封存，如果职工当前状态为封存，则按钮为启封，也可以通过分别设置封存、启封两个子TAB页来实现；</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状态为封存的，调用个人转移查询接口和查询个人信息，判断职工最近6个月内有没有转移或者是否开户日期不到6个月，符合条件之一的，可同时进行基数调整，相关内容置为可用（封存没有基数调整）</w:t>
      </w:r>
    </w:p>
    <w:p>
      <w:pPr>
        <w:ind w:firstLine="560" w:firstLineChars="200"/>
        <w:rPr>
          <w:rFonts w:hint="default"/>
          <w:b/>
          <w:bCs/>
          <w:sz w:val="28"/>
          <w:szCs w:val="36"/>
          <w:highlight w:val="none"/>
          <w:lang w:val="en-US" w:eastAsia="zh-CN"/>
        </w:rPr>
      </w:pPr>
      <w:r>
        <w:rPr>
          <w:rFonts w:hint="eastAsia"/>
          <w:b w:val="0"/>
          <w:bCs w:val="0"/>
          <w:sz w:val="28"/>
          <w:szCs w:val="36"/>
          <w:highlight w:val="none"/>
          <w:lang w:val="en-US" w:eastAsia="zh-CN"/>
        </w:rPr>
        <w:t>下拉选择封存（启封）原因，点击封存（启封）按钮，调用个人账户启封存接口。并将办理接口返显到页面。</w:t>
      </w:r>
    </w:p>
    <w:p>
      <w:pPr>
        <w:rPr>
          <w:rFonts w:hint="eastAsia" w:ascii="仿宋_GB2312" w:hAnsi="仿宋_GB2312" w:eastAsia="仿宋_GB2312" w:cs="仿宋_GB2312"/>
          <w:b w:val="0"/>
          <w:bCs w:val="0"/>
          <w:i/>
          <w:iCs/>
          <w:sz w:val="28"/>
          <w:szCs w:val="36"/>
          <w:highlight w:val="none"/>
          <w:lang w:val="en-US" w:eastAsia="zh-CN"/>
        </w:rPr>
      </w:pPr>
      <w:r>
        <w:rPr>
          <w:rFonts w:hint="eastAsia" w:ascii="仿宋_GB2312" w:hAnsi="仿宋_GB2312" w:eastAsia="仿宋_GB2312" w:cs="仿宋_GB2312"/>
          <w:b w:val="0"/>
          <w:bCs w:val="0"/>
          <w:i/>
          <w:iCs/>
          <w:sz w:val="28"/>
          <w:szCs w:val="36"/>
          <w:highlight w:val="none"/>
          <w:lang w:val="en-US" w:eastAsia="zh-CN"/>
        </w:rPr>
        <w:t>我中心网厅封存页面如下：</w:t>
      </w:r>
    </w:p>
    <w:p>
      <w:pPr>
        <w:rPr>
          <w:highlight w:val="none"/>
        </w:rPr>
      </w:pPr>
      <w:r>
        <w:rPr>
          <w:highlight w:val="none"/>
        </w:rPr>
        <w:drawing>
          <wp:inline distT="0" distB="0" distL="114300" distR="114300">
            <wp:extent cx="5267960" cy="2130425"/>
            <wp:effectExtent l="0" t="0" r="889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267960" cy="2130425"/>
                    </a:xfrm>
                    <a:prstGeom prst="rect">
                      <a:avLst/>
                    </a:prstGeom>
                    <a:noFill/>
                    <a:ln>
                      <a:noFill/>
                    </a:ln>
                  </pic:spPr>
                </pic:pic>
              </a:graphicData>
            </a:graphic>
          </wp:inline>
        </w:drawing>
      </w:r>
    </w:p>
    <w:p>
      <w:pPr>
        <w:rPr>
          <w:rFonts w:hint="eastAsia" w:ascii="仿宋_GB2312" w:hAnsi="仿宋_GB2312" w:eastAsia="仿宋_GB2312" w:cs="仿宋_GB2312"/>
          <w:b w:val="0"/>
          <w:bCs w:val="0"/>
          <w:i/>
          <w:iCs/>
          <w:sz w:val="28"/>
          <w:szCs w:val="36"/>
          <w:highlight w:val="none"/>
          <w:lang w:val="en-US" w:eastAsia="zh-CN"/>
        </w:rPr>
      </w:pPr>
      <w:r>
        <w:rPr>
          <w:rFonts w:hint="eastAsia" w:ascii="仿宋_GB2312" w:hAnsi="仿宋_GB2312" w:eastAsia="仿宋_GB2312" w:cs="仿宋_GB2312"/>
          <w:b w:val="0"/>
          <w:bCs w:val="0"/>
          <w:i/>
          <w:iCs/>
          <w:sz w:val="28"/>
          <w:szCs w:val="36"/>
          <w:highlight w:val="none"/>
          <w:lang w:val="en-US" w:eastAsia="zh-CN"/>
        </w:rPr>
        <w:t>我中心网厅启封页面如下：</w:t>
      </w:r>
    </w:p>
    <w:p>
      <w:pPr>
        <w:rPr>
          <w:highlight w:val="none"/>
        </w:rPr>
      </w:pPr>
    </w:p>
    <w:p>
      <w:pPr>
        <w:rPr>
          <w:rFonts w:hint="default"/>
          <w:highlight w:val="none"/>
          <w:lang w:val="en-US" w:eastAsia="zh-CN"/>
        </w:rPr>
      </w:pPr>
      <w:r>
        <w:rPr>
          <w:highlight w:val="none"/>
        </w:rPr>
        <w:drawing>
          <wp:inline distT="0" distB="0" distL="114300" distR="114300">
            <wp:extent cx="5269865" cy="2637155"/>
            <wp:effectExtent l="0" t="0" r="698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5269865" cy="2637155"/>
                    </a:xfrm>
                    <a:prstGeom prst="rect">
                      <a:avLst/>
                    </a:prstGeom>
                    <a:noFill/>
                    <a:ln>
                      <a:noFill/>
                    </a:ln>
                  </pic:spPr>
                </pic:pic>
              </a:graphicData>
            </a:graphic>
          </wp:inline>
        </w:drawing>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（4）缴存基数调整</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与封存启封一样，页面要实现查询选择职工的功能，单位经办人录入缴存基数，页面按照缴存基数*缴存比例计算出职工月缴存额。需要调用缴存上下限查询接口，控制缴存基数和月缴额。</w:t>
      </w:r>
    </w:p>
    <w:p>
      <w:pPr>
        <w:rPr>
          <w:rFonts w:hint="default"/>
          <w:b w:val="0"/>
          <w:bCs w:val="0"/>
          <w:sz w:val="28"/>
          <w:szCs w:val="36"/>
          <w:highlight w:val="none"/>
          <w:lang w:val="en-US" w:eastAsia="zh-CN"/>
        </w:rPr>
      </w:pPr>
      <w:r>
        <w:rPr>
          <w:rFonts w:hint="eastAsia" w:ascii="仿宋_GB2312" w:hAnsi="仿宋_GB2312" w:eastAsia="仿宋_GB2312" w:cs="仿宋_GB2312"/>
          <w:b w:val="0"/>
          <w:bCs w:val="0"/>
          <w:i/>
          <w:iCs/>
          <w:sz w:val="28"/>
          <w:szCs w:val="36"/>
          <w:highlight w:val="none"/>
          <w:lang w:val="en-US" w:eastAsia="zh-CN"/>
        </w:rPr>
        <w:t>我中心网厅基数调整页面如下：</w:t>
      </w:r>
    </w:p>
    <w:p>
      <w:pPr>
        <w:rPr>
          <w:rFonts w:hint="default"/>
          <w:b w:val="0"/>
          <w:bCs w:val="0"/>
          <w:sz w:val="28"/>
          <w:szCs w:val="36"/>
          <w:highlight w:val="none"/>
          <w:lang w:val="en-US" w:eastAsia="zh-CN"/>
        </w:rPr>
      </w:pPr>
      <w:r>
        <w:rPr>
          <w:highlight w:val="none"/>
        </w:rPr>
        <w:drawing>
          <wp:inline distT="0" distB="0" distL="114300" distR="114300">
            <wp:extent cx="5268595" cy="2440940"/>
            <wp:effectExtent l="0" t="0" r="8255" b="165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268595" cy="2440940"/>
                    </a:xfrm>
                    <a:prstGeom prst="rect">
                      <a:avLst/>
                    </a:prstGeom>
                    <a:noFill/>
                    <a:ln>
                      <a:noFill/>
                    </a:ln>
                  </pic:spPr>
                </pic:pic>
              </a:graphicData>
            </a:graphic>
          </wp:inline>
        </w:drawing>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（5）个人同城转移</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页面实现选择职工的功能，并校验职工的状态是否为封存，经办人输入转入单位账号，页面返显单位名称，点击转移办理按钮，调用个人账户转移接口，办理转移业务。并将办理结果返显到页面中。</w:t>
      </w:r>
    </w:p>
    <w:p>
      <w:pPr>
        <w:rPr>
          <w:rFonts w:hint="default"/>
          <w:b w:val="0"/>
          <w:bCs w:val="0"/>
          <w:sz w:val="28"/>
          <w:szCs w:val="36"/>
          <w:highlight w:val="none"/>
          <w:lang w:val="en-US" w:eastAsia="zh-CN"/>
        </w:rPr>
      </w:pPr>
      <w:r>
        <w:rPr>
          <w:rFonts w:hint="eastAsia" w:ascii="仿宋_GB2312" w:hAnsi="仿宋_GB2312" w:eastAsia="仿宋_GB2312" w:cs="仿宋_GB2312"/>
          <w:b w:val="0"/>
          <w:bCs w:val="0"/>
          <w:i/>
          <w:iCs/>
          <w:sz w:val="28"/>
          <w:szCs w:val="36"/>
          <w:highlight w:val="none"/>
          <w:lang w:val="en-US" w:eastAsia="zh-CN"/>
        </w:rPr>
        <w:t>我中心网厅个人转移页面如下：</w:t>
      </w:r>
    </w:p>
    <w:p>
      <w:pPr>
        <w:rPr>
          <w:rFonts w:hint="default"/>
          <w:b w:val="0"/>
          <w:bCs w:val="0"/>
          <w:sz w:val="28"/>
          <w:szCs w:val="36"/>
          <w:highlight w:val="none"/>
          <w:lang w:val="en-US" w:eastAsia="zh-CN"/>
        </w:rPr>
      </w:pPr>
      <w:r>
        <w:rPr>
          <w:highlight w:val="none"/>
        </w:rPr>
        <w:drawing>
          <wp:inline distT="0" distB="0" distL="114300" distR="114300">
            <wp:extent cx="5261610" cy="2307590"/>
            <wp:effectExtent l="0" t="0" r="15240"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61610" cy="2307590"/>
                    </a:xfrm>
                    <a:prstGeom prst="rect">
                      <a:avLst/>
                    </a:prstGeom>
                    <a:noFill/>
                    <a:ln>
                      <a:noFill/>
                    </a:ln>
                  </pic:spPr>
                </pic:pic>
              </a:graphicData>
            </a:graphic>
          </wp:inline>
        </w:drawing>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10、后台管理系统优化升级</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（1）编辑器支持图片上传</w:t>
      </w:r>
    </w:p>
    <w:p>
      <w:pPr>
        <w:rPr>
          <w:highlight w:val="none"/>
        </w:rPr>
      </w:pPr>
      <w:r>
        <w:rPr>
          <w:highlight w:val="none"/>
        </w:rPr>
        <w:drawing>
          <wp:inline distT="0" distB="0" distL="114300" distR="114300">
            <wp:extent cx="5262880" cy="3122295"/>
            <wp:effectExtent l="0" t="0" r="1397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7"/>
                    <a:stretch>
                      <a:fillRect/>
                    </a:stretch>
                  </pic:blipFill>
                  <pic:spPr>
                    <a:xfrm>
                      <a:off x="0" y="0"/>
                      <a:ext cx="5262880" cy="3122295"/>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当前政策信息栏目中的内容只能使用文字和表格，无法上传图片，由于像图中表格在后台编辑器中难以编辑且效果不好，要求能使用本地图片上传的形式显示。</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（2）统计报表增加查询次数的统计</w:t>
      </w:r>
    </w:p>
    <w:p>
      <w:pPr>
        <w:rPr>
          <w:rFonts w:hint="eastAsia"/>
          <w:b w:val="0"/>
          <w:bCs w:val="0"/>
          <w:sz w:val="28"/>
          <w:szCs w:val="36"/>
          <w:highlight w:val="none"/>
          <w:lang w:val="en-US" w:eastAsia="zh-CN"/>
        </w:rPr>
      </w:pPr>
      <w:r>
        <w:rPr>
          <w:highlight w:val="none"/>
        </w:rPr>
        <w:drawing>
          <wp:inline distT="0" distB="0" distL="114300" distR="114300">
            <wp:extent cx="5265420" cy="2191385"/>
            <wp:effectExtent l="0" t="0" r="11430" b="184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8"/>
                    <a:stretch>
                      <a:fillRect/>
                    </a:stretch>
                  </pic:blipFill>
                  <pic:spPr>
                    <a:xfrm>
                      <a:off x="0" y="0"/>
                      <a:ext cx="5265420" cy="2191385"/>
                    </a:xfrm>
                    <a:prstGeom prst="rect">
                      <a:avLst/>
                    </a:prstGeom>
                    <a:noFill/>
                    <a:ln>
                      <a:noFill/>
                    </a:ln>
                  </pic:spPr>
                </pic:pic>
              </a:graphicData>
            </a:graphic>
          </wp:inline>
        </w:drawing>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我中心需要按月上报综合服务平台报表，目前缺少查询类数据，需要增加：</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●政策信息栏目浏览次数</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个人信息查询次数（个人公积金基本信息、明细信息、贷款信息、冲还贷信息等，所有在页面展示给职工查看的都计算在内。只要总数就行，不需要分项）</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●单位信息查询次数（与个人查询类似，单位基本信息、明细信息等，所有在页面展示给经办人查看的都计算在内）</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●单据打印次数（所有通过自助终端打印的总次数，里面再分列各种单据的明细次数）</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（3）温馨提示</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此次所有的业务办理功能页面，都需要在页面中提供温馨提示功能，为便于政策变动时内容可以调整，温馨提示的内容要能够在管理后台进行编辑。</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（4）模块管理</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要求实现对页面模块的动态管理，可以通过管理后台开启或关闭，关闭后最好是自助终端不显示对应按钮，或者是点击时提示“功能未开放”。</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（5）参数管理</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自助机已有系统参数设置功能，需要将需求中提到的参数补充进去。</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三、设计要求</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 xml:space="preserve">1、科学合理  </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 xml:space="preserve">系统方案的设计必须遵循系统工程的设计准则，在系统的合理性与技术的先进性之间取得均衡，努力追求整个系统结构的科学合理，在保证系统功能和性能的前提下，最大限度地采用成熟、可升级、具备广阔发展前景的技术。  </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 xml:space="preserve">2、规范有序  </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 xml:space="preserve">系统设计应尽量采用标准化、模块化设计并严格遵守相关技术的国际、国内和行业标准，以确保系统之间的开放透明性，确保系统之间、部门之间的互连互通。在设计和选用设备时应充分考虑其扩展性，保留扩容和发展的空间。  </w:t>
      </w:r>
    </w:p>
    <w:p>
      <w:pPr>
        <w:ind w:firstLine="562" w:firstLineChars="200"/>
        <w:rPr>
          <w:rFonts w:hint="eastAsia"/>
          <w:b/>
          <w:bCs/>
          <w:sz w:val="28"/>
          <w:szCs w:val="36"/>
          <w:highlight w:val="none"/>
          <w:lang w:val="en-US" w:eastAsia="zh-CN"/>
        </w:rPr>
      </w:pPr>
      <w:r>
        <w:rPr>
          <w:rFonts w:hint="eastAsia"/>
          <w:b/>
          <w:bCs/>
          <w:sz w:val="28"/>
          <w:szCs w:val="36"/>
          <w:highlight w:val="none"/>
          <w:lang w:val="en-US" w:eastAsia="zh-CN"/>
        </w:rPr>
        <w:t>3、系统易用</w:t>
      </w:r>
    </w:p>
    <w:p>
      <w:pPr>
        <w:ind w:firstLine="560" w:firstLineChars="200"/>
        <w:rPr>
          <w:rFonts w:hint="eastAsia"/>
          <w:b w:val="0"/>
          <w:bCs w:val="0"/>
          <w:sz w:val="28"/>
          <w:szCs w:val="36"/>
          <w:highlight w:val="none"/>
          <w:lang w:val="en-US" w:eastAsia="zh-CN"/>
        </w:rPr>
      </w:pPr>
      <w:r>
        <w:rPr>
          <w:rFonts w:hint="eastAsia"/>
          <w:b w:val="0"/>
          <w:bCs w:val="0"/>
          <w:sz w:val="28"/>
          <w:szCs w:val="36"/>
          <w:highlight w:val="none"/>
          <w:lang w:val="en-US" w:eastAsia="zh-CN"/>
        </w:rPr>
        <w:t>系统用户界面应操作简洁、易用、灵活，风格统一。充分考虑系统的易用性，方便职工进行操作，实现对于非专业人员，能够根据屏幕提示准确操作。</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四、</w:t>
      </w:r>
      <w:r>
        <w:rPr>
          <w:rFonts w:hint="default"/>
          <w:b/>
          <w:bCs/>
          <w:sz w:val="28"/>
          <w:szCs w:val="36"/>
          <w:highlight w:val="none"/>
          <w:lang w:val="en-US" w:eastAsia="zh-CN"/>
        </w:rPr>
        <w:t>项目管理</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整个项目组织与实施需要满足以下要求： </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1、</w:t>
      </w:r>
      <w:r>
        <w:rPr>
          <w:rFonts w:hint="default"/>
          <w:b w:val="0"/>
          <w:bCs w:val="0"/>
          <w:sz w:val="28"/>
          <w:szCs w:val="36"/>
          <w:highlight w:val="none"/>
          <w:lang w:val="en-US" w:eastAsia="zh-CN"/>
        </w:rPr>
        <w:t xml:space="preserve">项目实施要求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投标人应根据时间节点要求，明确整个实施过程及系统开发各阶段任务说明；明确项目进度管理措施、进度计划；明确在项目实施的各个阶段，提交相关的项目进展文档。 </w:t>
      </w:r>
    </w:p>
    <w:p>
      <w:pPr>
        <w:ind w:firstLine="560" w:firstLineChars="200"/>
        <w:rPr>
          <w:rFonts w:hint="default"/>
          <w:b w:val="0"/>
          <w:bCs w:val="0"/>
          <w:sz w:val="28"/>
          <w:szCs w:val="36"/>
          <w:highlight w:val="none"/>
          <w:lang w:val="en-US" w:eastAsia="zh-CN"/>
        </w:rPr>
      </w:pPr>
      <w:r>
        <w:rPr>
          <w:rFonts w:hint="eastAsia"/>
          <w:b w:val="0"/>
          <w:bCs w:val="0"/>
          <w:sz w:val="28"/>
          <w:szCs w:val="36"/>
          <w:highlight w:val="none"/>
          <w:lang w:val="en-US" w:eastAsia="zh-CN"/>
        </w:rPr>
        <w:t>2、</w:t>
      </w:r>
      <w:r>
        <w:rPr>
          <w:rFonts w:hint="default"/>
          <w:b w:val="0"/>
          <w:bCs w:val="0"/>
          <w:sz w:val="28"/>
          <w:szCs w:val="36"/>
          <w:highlight w:val="none"/>
          <w:lang w:val="en-US" w:eastAsia="zh-CN"/>
        </w:rPr>
        <w:t xml:space="preserve">项目人员要求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中标供应商应按软件开发工程的通用要求，组成项目团队，负责本项目的实施。核心团队及技术开发人员应具备以下条件：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（1）要求项目配备的所有人员对工作的背景十分熟悉，具备足够的项目管理经验和能力，项目团队具备开发、运行党建引领信用村服务平台的经验。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（2）投标方需要详细列出项目组的组织架构、主要人员的配置、岗位的设置、管理的职能。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（3）必须对项目的工作范围、可能风险、需要资源、实现任务、里程碑事件、完整性测试、进度控制等进行规范实施。</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（4）所有模块上线，必须经过严格测试，并进行标准化记录，出现问题及时跟踪，查找问题。</w:t>
      </w:r>
    </w:p>
    <w:p>
      <w:pPr>
        <w:ind w:firstLine="562" w:firstLineChars="200"/>
        <w:rPr>
          <w:rFonts w:hint="default"/>
          <w:b/>
          <w:bCs/>
          <w:sz w:val="28"/>
          <w:szCs w:val="36"/>
          <w:highlight w:val="none"/>
          <w:lang w:val="en-US" w:eastAsia="zh-CN"/>
        </w:rPr>
      </w:pPr>
      <w:r>
        <w:rPr>
          <w:rFonts w:hint="eastAsia"/>
          <w:b/>
          <w:bCs/>
          <w:sz w:val="28"/>
          <w:szCs w:val="36"/>
          <w:highlight w:val="none"/>
          <w:lang w:val="en-US" w:eastAsia="zh-CN"/>
        </w:rPr>
        <w:t>五、</w:t>
      </w:r>
      <w:r>
        <w:rPr>
          <w:rFonts w:hint="default"/>
          <w:b/>
          <w:bCs/>
          <w:sz w:val="28"/>
          <w:szCs w:val="36"/>
          <w:highlight w:val="none"/>
          <w:lang w:val="en-US" w:eastAsia="zh-CN"/>
        </w:rPr>
        <w:t>售后服务要求</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 xml:space="preserve">中标供应商对所提供的软件系统提供软件维护、故障处理等保修服务。中标供应商承担系统的管理、维护。 </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（1）项目验收通过后，进入免费服务期，免费服务期1年.</w:t>
      </w:r>
    </w:p>
    <w:p>
      <w:pPr>
        <w:ind w:firstLine="560" w:firstLineChars="200"/>
        <w:rPr>
          <w:rFonts w:hint="default"/>
          <w:b w:val="0"/>
          <w:bCs w:val="0"/>
          <w:sz w:val="28"/>
          <w:szCs w:val="36"/>
          <w:highlight w:val="none"/>
          <w:lang w:val="en-US" w:eastAsia="zh-CN"/>
        </w:rPr>
      </w:pPr>
      <w:r>
        <w:rPr>
          <w:rFonts w:hint="default"/>
          <w:b w:val="0"/>
          <w:bCs w:val="0"/>
          <w:sz w:val="28"/>
          <w:szCs w:val="36"/>
          <w:highlight w:val="none"/>
          <w:lang w:val="en-US" w:eastAsia="zh-CN"/>
        </w:rPr>
        <w:t>（2）服务响应要求：投标人须提供7*24 小时</w:t>
      </w:r>
      <w:r>
        <w:rPr>
          <w:rFonts w:hint="eastAsia"/>
          <w:b w:val="0"/>
          <w:bCs w:val="0"/>
          <w:sz w:val="28"/>
          <w:szCs w:val="36"/>
          <w:highlight w:val="none"/>
          <w:lang w:val="en-US" w:eastAsia="zh-CN"/>
        </w:rPr>
        <w:t>微信服务支持</w:t>
      </w:r>
      <w:r>
        <w:rPr>
          <w:rFonts w:hint="default"/>
          <w:b w:val="0"/>
          <w:bCs w:val="0"/>
          <w:sz w:val="28"/>
          <w:szCs w:val="36"/>
          <w:highlight w:val="none"/>
          <w:lang w:val="en-US" w:eastAsia="zh-CN"/>
        </w:rPr>
        <w:t>，并承诺故障响应时间和故障解决时间，以及现场服务时间。</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auto" w:sz="8" w:space="1"/>
      </w:pBd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-371475</wp:posOffset>
          </wp:positionH>
          <wp:positionV relativeFrom="paragraph">
            <wp:posOffset>-260350</wp:posOffset>
          </wp:positionV>
          <wp:extent cx="1456690" cy="381000"/>
          <wp:effectExtent l="0" t="0" r="10160" b="0"/>
          <wp:wrapNone/>
          <wp:docPr id="16" name="图片 16" descr="公积金标识（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积金标识（横）"/>
                  <pic:cNvPicPr>
                    <a:picLocks noChangeAspect="1"/>
                  </pic:cNvPicPr>
                </pic:nvPicPr>
                <pic:blipFill>
                  <a:blip r:embed="rId1"/>
                  <a:stretch>
                    <a:fillRect/>
                  </a:stretch>
                </pic:blipFill>
                <pic:spPr>
                  <a:xfrm>
                    <a:off x="0" y="0"/>
                    <a:ext cx="1456690" cy="381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891249"/>
    <w:rsid w:val="04465058"/>
    <w:rsid w:val="0A7F61EE"/>
    <w:rsid w:val="0BAC08C1"/>
    <w:rsid w:val="1B17221D"/>
    <w:rsid w:val="1F450D81"/>
    <w:rsid w:val="366A48DF"/>
    <w:rsid w:val="43166991"/>
    <w:rsid w:val="5E8A0784"/>
    <w:rsid w:val="651D61E2"/>
    <w:rsid w:val="6D891249"/>
    <w:rsid w:val="7259780C"/>
    <w:rsid w:val="759D1A7A"/>
    <w:rsid w:val="775E4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tabs>
        <w:tab w:val="left" w:pos="1830"/>
      </w:tabs>
      <w:ind w:left="1830" w:hanging="360"/>
      <w:outlineLvl w:val="0"/>
    </w:pPr>
    <w:rPr>
      <w:rFonts w:ascii="Arial" w:hAnsi="Arial" w:eastAsia="仿宋_GB2312" w:cs="Times New Roman"/>
      <w:sz w:val="28"/>
      <w:szCs w:val="20"/>
      <w:lang w:bidi="he-IL"/>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extobjs>
    <extobj name="ECB019B1-382A-4266-B25C-5B523AA43C14-1">
      <extobjdata type="ECB019B1-382A-4266-B25C-5B523AA43C14" data="ewogICAiRmlsZUlkIiA6ICIxMzQ3OTAzNzMzMDAiLAogICAiR3JvdXBJZCIgOiAiMjc0Mzg3OTM0IiwKICAgIkltYWdlIiA6ICJpVkJPUncwS0dnb0FBQUFOU1VoRVVnQUFBTFFBQUFEaENBWUFBQUJoanA5MkFBQUFDWEJJV1hNQUFBc1RBQUFMRXdFQW1wd1lBQUFZZ1VsRVFWUjRuTzNkZTFoVTFkNEg4TytDQVJVQnVSd2xFTXd1V2g0U1kvQU9waUJJMmxIVHAxQXI0cldUQ0ptbFBVSjBDbERMMTlDT2RoUkREYkdNdktHSWNrd0x0YkFYOEFhSWtHbUV5RkVVQkxrek1NN01YdThmbk5reGdrcmVOclA1Zlo3SGh6MTc5dDd6QTc0dUZtdXZOUUNFRUVJSUlZUVFRZ2doaEJCQ0NDR0VFRUlJSVlRUVFnZ2hoQkJDQ0NHRUVFSUlJWVFRUWdnaGhCQkNDQ0dFRUVJSUlZUVFRZ2doaEJCQ0NDR0VFRUlJSVlRUVFnZ2hoQkJDQ0NHRUVFSUlJWVNRQjRSSlhjREQ1T0hoWWNFNWY1NXpQcFl4NWdtZ0x3QjdBR1lTbDlaWmFEbm5WUUN1TU1ZeUFhUTNOalllT0gvK2ZMM1VoWFZVbHdqMDRNR0RiYzNNekJZQmVCdUF0ZFQxR0JQT2VTUG5mS01nQ0orZU9YUG1tdFQxM0luc0ErM2g0Zkd5SUFnYkdHTzJqREU4Kyt5ejhQVDBoRktwUk4rK2ZXRmpZd09GUWlGMW1aMkNWcXRGYlcwdHJsNjlpcHljSEdSbVp1TFVxVlBnbkFOQUhZQjNjM0p5dnBLMnl0dVRjNkJObFVybFB3RzhDd0JqeDQ3RnUrKytpMGNmZlZUaXNvekxsU3RYc0diTkdxU2xwZWwzSmVUazVNd0ZvSld3ckZ1U2E2QVZTcVh5U3dEL1kyVmxoY2pJU0l3ZlAxN3Ftb3phc1dQSDhORkhINkc2dWhvQVVoaGpBZG5aMlJxcDY3cVpxZFFGUEFqdTd1NHJHR052OWU3ZEcvSHg4VkFxbFZLWFpQU2NuWjNoNStlSDlQUjAxTmZYUHczQStlclZxM3VscnV0bXNtdWhuMzMyMlZkTVRFeSt0Ykd4d1ZkZmZRVVhGeGVwUzVLVjh2SnlCQVVGb2FLaUFnRG01K1RreEVwZFUydXlDclM3dTdzVFkreFhVMU5UNjdWcjEyTEVpQkZTbHlSTEJRVUYrUHZmL3c2TlJ0T28xV3JkOHZQekwwaGRrNTZKMUFYY1Q0eXh6d0ZZejV3NWs4TDhBRDN6ekRNSUNRa0JZNnluUXFIWUtIVTlyY21taFhaemN4dWhVQ2lPT1RvNklqazVHZWJtNWxLWEpHc2FqUVl6Wjg3RXhZc1hvZFBwL1BQeThuNlF1aVpBUmkyMHFhbnBFZ0NZTTJjT2hma2hNRE16d3p2dnZBUGdqNjk5WnlDTFFBOFpNc1NWTWViZnQyOWZUSmt5UmVweXVvem5ubnNPanovK09BQ005UER3NkJSOVBGa0UydFRVOUUwQWVQSEZGOEdZYkhwUm5SNWpESUdCZ1FBQVFSQVdTRndPQUJrRTJ0WFYxWnh6L3JwQ29jRDA2ZE9sTHFmTDhmSHhnWm1aR1JoakUvdjM3OTlkNm5xTVB0RG01dWJQTWNiczNOM2RZV05qSTNVNVhZNmxwU1hHamgwTEFMM3M3T3ltU2wyUDBRZWFjKzRIQUo2ZW5sS1gwbVY1ZTNzREFEam5MMGhjaXZFSG1qRTJHV2o1QllWSVk4aVFJZnJOTVZMV0FSaDVvRjFkWGUwWVk0UHM3T3hvRnAyRUhCMGQ0ZURnQU1aWWZ6YzN0ejVTMW1MVWdUWXpNM01EZ0NlZmZGTHFVcm84TnpjM0FJQkNvZkNTc2c2akRqUmo3R2tBZU95eHg2UXVwY3NiTkdpUWZ0TkR5anBrRVdpNWREZDBPaDJpbzZNaENJTEJmcFZLaGNXTEYwT3RWa3RVMlozMTdkc1hBTUE1ZjBMS09veDY3UkhuZkNCakRQMzY5Wk82RkFNcEtTbjQrT09QTzN4OGRuWTJBS0NzckF6SGp4K0hpWWxoTzVPWW1BaTFXbzF1M2JyZDF6cnZKd2NIQi8xbTUvcG1HQk4zZC9kY3BWTEpmL3Z0Tjk2WkNJTEF0Vm90MTJxMVhLbFU4dnI2ZXZGeGUvdjBzckt5ZUdob3FNRzFTa3RMdWJlM055OHRMZVU2blk3UG5qMmJWMVJVUE94UDZZNUtTa3E0VXFuazd1N3U1NlhNaEZHMzBJeXhSd0RBMXRaVzZsSU1NTVpnYXZySFlpQVRFeE9EeCszdG16MTdOczZlUFF2R0dMeTh2TkRVMUlTVEowOWk2ZEtsZU8yMTErRGs1QVFBbURwMUtqNzc3RE44K3VtbkQrZVQ2U0JyNjViRjlJd3hleW5yTU9wQUErZ0pBQllXRmxMWGNjODJiOTZNNk9ob2pCZ3hBbjUrZnBnd1lRSldyRmlCa3lkUFFxZlQ0Y2NmZjBSOWZUMGFHeHRSVjFlSHZMeTgxdU8va3V2ZVhienIzVVBLT293OTBEMEF5R2E2NlBuejUvSEdHMitndkx3Y1RrNU84UFgxeFlBQkErRHM3SXkvL09VdnNMT3pRNjlldmJCdjN6NXMyclFKYTlhc2ticGtrWm1aK0Y0OWtuNHpqRDNRQU5EcFp0aDVlQmlPWEkwWjAvWUdXdXQ5d2NIQkNBd014UFhyMTlHdlh6OGNQbndZQXdjT3hOQ2hRekYwNk5BMjUwNmNPTEV6cjJLWDlKdGgxSUhtbkRjenhpelZhblduNm5ib1J5MXUzTGlCVWFORzRjU0pFd2I5WlE4UEQvejg4ODhHTmVmbDVjSEt5Z29ORFEzSXlzb1MvMU40ZUhpZ1R4L0RtMjgxTlRYSXlzcDZDSjlKeDJrMDRqc2FTRHEyYU5TQkJ0QUl3TEtwcWFsVEJWcXZvcUlDMXRiV2JYNGhiTStRSVVNd2FkSWtCQVVGb2FHaEFRc1d0RXd2TmpjM3g0RURCd3lPSFRWcTFBT3A5MTdveDhnNTU4MVMxbUhzTjFiS0FlamYvS1RUT1hic0dGeGRYVHQ4L0p0dnZvbEhIbmtFTjI3Y1FIRng4UU9zN1A2cnE2dlRiMTZYc2c2akRqU0Fxd0JRV1ZrcGRSMXRYTGh3QVhGeGNaZzFhMWFIejBsSlNVRk5UUTFDUWtJUUdocUtDeGM2emJzRDNGRnRiUzBBZ0RFbWFhQ051c3ZCT2YrTk1lWi82ZElsakJ3NVV1cHlSSHYzN3NXcVZhc1FIQnpjNFhuYTI3WnR3ODZkTzdGaHd3YjA2ZE1IYm01dWVQenh4NkhSYURCMXF1VHo1dStvdkx4Y3YzbEp5anFNUGREbkdHTzRlUEdpMUtVWWNIQnd3T2VmZnc1M2QvZDJudzhPRG00OXpBVUE2TisvUCtMajQyRnYzM0pmNHE5Ly9TdUFsdEdRMWF0WEd4eTdjT0hDQjFEMXZibHk1UW9BZ0hOZUpHVWRSaDFveHRoNUFKMHUwSGY2YVRGMzd0dzIrMjcxaTk3TlliN1ZQcW1kTzNjT0FDQUlRcTZVZFJoMUg5ckV4Q1FQQUg3Ly9YZXBTK255OHZMeUFBQW1KaWIvSjJVZFJoM283T3pzU3M1NVlXVmxKUzVmdml4MU9WM1d0V3ZYY1BYcVZRQzRsSnViZTBYS1dvdzYwUCtWQ2dBLy8veXoxSFYwV2ZyV21YTXVhZXNNeUNEUWpMRTBBTWpJeUpDNmxDNHJQVDBkQU1BWSswN2lVb3cvMEZWVlZUOEJxRHQxNmhUcTY0M21qelhKaGtxbHdwRWpSOEE1YjJTTUpVdGRqOUVIK3VMRmk4MEFFalVhRGZidTdYUnZLQzk3NmVucCt0dmVCN096czFWUzEyUDBnUVlBblU0WER3REp5Y242djloRUhnTE9PUklURS9VUDEwcFppNTRzQXAyWGw1ZkxPVTh2S1NuQjk5OS9MM1U1WGNheFk4ZjA0ODg1dWJtNTZWTFhBOGdrMFA4VkJRQWJObXhvUFpXUlBDQmFyUlpyMTdZMHlvSWdMSlc0SEpGcy9ncFdXVmxaaWFPajQ3RGEydHFCbkhNTUd6Wk02cEprYmNlT0hVaE5UUVhuUE9QMDZkUHZTMTJQbnB4YWFHaTEydmtBR3IvKyttdms1K2RMWFk1cy9mNzc3L3JsWDAyQ0lMUzlqeThoV1FYNnpKa3p4WUlnTE5CcXRRZ0xDMnM5QTR6Y0oxVlZWWGp2dmZkdzQ4WU5DSUx3Y1Y1ZTNpOVMxOVNhYkxvY2VtVmxaVG1Pam81OVZTcVZ4MDgvL1lSeDQ4YkJ5c3BLNnJKa29iS3lFcUdob1NncEtRR0FwTnpjM0hlbHJ1bG1zbXFoOVJoajh3Q2tsSmFXSWpBd0VDZFBucFM2SktPWG41K1B3TUJBRkJVVkFjRGh1cnE2UUtscmFrL25XaTU5ZnltVVNtVUNnRUFBbURKbENvS0RnK0hvNkNoeFdjYWxzcklTbXpadFFsSlNrbjZNZnc5amJFWm4vRHZmZ0x3RERRQlFLcFZ6QWF3QVlNMFl3NWd4WXpCKy9IZzg5ZFJUNk4yN055d3RMYUZRR1BXMDhQdEdwOU9ob2FFQmxaV1ZPSC8rUE5MVDAzSGt5Qkg5bTBjMmNzNmpjM056L3lsMW5iY2orMEFEZ0p1Yld4OVRVOVAvQlRDVE1kWlQ2bnFNVEJPQVpLMVdHM0htekpsT1AwZTNTd1JhNzZtbm5yS3lzTEI0alRFMkRvQWJnTjRBZXNISVYrN2NSenJPZVMxYVZtNmY0Wnovck5QcHR1VG41M2ZPWmZXRUVFSUlJWVFRUWdnaGhCQkNDQ0dFRUVJSUlZUVFRZ2doaEJCQ0NDR0VFRUlJSVlRUVFnZ2hENDVSdnkrSFVxazhETUJINmpySUh6am5KM0p6YzBkSTlmckcvbWFORk9aT2hqRTJYTXJYbDhVN0JtVm5aMHRkQWdIZzRlRWhkUWxHMzBJVFlvQUNUV1NGQWsxa2hRSk5aSVVDVFdTRkFrMWtoUUpOWklVQ1RXU0ZBazFraFFKTlpJVUNUV1NGQWsxa2hRSk5aSVVDVFdTRkFrMWtoUUpOWklVQ1RXU0ZBazFraFFMZENXazBHZ2lDSUhVWlJva0NEV0RpeEltM2ZiNjB0TlFnWUdxMUdtdlhyb1ZHbytuUTlkVnFOZUxqNHdFQU4yN2NFTGR2SlRZMkZxdFhyKzdRdFc4bUNBSWFHaHBRV2xxS3MyZlBJak16RS8vKzk3OXgvUGh4ZytNU0V4TlJWVlZsc08vZ3dZT0lpNHU3cTlmdExHU3hTTGFqRmk1Y2lBc1hMclRaWDFsWmlhbFRwN2JadjNmdlhnREFtalZyWUdscGlZOCsrZ2lNTWV6ZXZSdS8vZlliek16TU92UzZUVTFOaUl1THc1dHZ2Z20xV2kxdXR5Y2pJd05idDI2Rmc0TkRteERxYmRxMENWWldWcWl1cnNhOGVmUFExTlNFcHFZbU5EWTJvcm01R1ZaV1ZyQ3pzME92WHIxZ2Eyc0xlM3Q3dUx1N2krZGZ2SGdSMzM3N0xRSUNBZ3l1TzJqUUlLeFlzUUxEaHcvdkZBdGU3MGFYQ25UclZrK24wMkhqeG8wb0xDeEVmWDA5SEIwZDRlL3ZqMm5UcHJVNWIrblNwUWdORGNXbVRadncwa3N2WWZQbXpRQUFQejgvZytOcWFtcXdmZnQyUFBIRUUzZFZYMDVPRGo3NTVCTjRlWG5CMmRrWkN4Y3VoSWxKeXcvUjB0SlNmUERCQnhnOGVEQXNMUzBCQUxhMnRsaXlaQWw2OU9pQm5qMTc0dkRodzlpeVpRc2lJeU14Yk5nd0FNQzFhOWVnMVdyaDVPUWt2czQzMzN5RG9LQWdtSnViaTUrRFZxdUZJQWd3TnpkSFJFU0VlR3hVVkJUR2pCbHpWNThQK1pPVVNpVlhLcFg4ejhySXlPQXpac3pnTVRFeFhLUFI4T2VmZjU0M056ZnpKVXVXOERsejV2Q2NuSncyNTlUVTFQRGEybG9lRmhiR3Yvenl5M2F2TzJYS0ZQNmYvL3lIYzg1NVdGZ1l6OGpJNEp4elhsMWRMZFpaVjFkblVQTzZkZXY0cVZPbmVGWldGcDgwYVJJdktDamdPcDJPeDhURThObXpaL05qeDQ3eGRldlc4WWtUSi9MVTFOUjJYN2VvcUlqUG16ZVBmL0xKSjd5bXBrYmNuNXFheWlkTW1NQ1RrcExFZlpjdlgrWlRwMDdsYXJXYUp5UWs4T3JxYXM0NTUwdVdMT0V6Wjg3a1dxMldjODdGajMrRy92c2haU2E2VEF1dDFXcXhhOWN1cEtTa29LbXBDZUhoNGZEMDlBUUFUSm8wQ2QyNmRVTlVWQlF5TWpLd2JOa3ltSmlZSURvNkdxNnVyZ0NBWHIxNm9haW9DTTNOelVoUFQwZHFhcXA0N1Y2OWVtSExsaTNRYURRd056Y0hBQXdjT0JDSmlZa1lQWHIwTFd0cWJtN0d0bTNiTUhueVpQVHUzUnNKQ1Fsd2NIQ0FTcVhDMEtGRGNmejRjWVNIaDBPbFVpRXdNQkF1TGk1b2FtcENqeDQ5eEd2RXhNUmcxNjVkY0hkM1IzTnpNNktpb2xCZlg0L0t5a3E0dUxoZzQ4YU5lUFRSUjhYalY2OWVqZURnWUJRV0Z1Szc3NzVEWUdBZ3NyT3prWmFXaG9TRUJKaWFtcUttcGdiejU4L0g1czJib1ZBWVYwU01xOXA3b0ZBb2NPM2FOY3llUFJzeE1URll2bnk1d2ZQZmYvKzl1QzBJQXQ1NjZ5MDgrZVNUU0V4TVJFSkNBdXJyNjNIeTVFbXNXYk1HZm41K1NFdExFNC8zOFdsNUE2Y2JOMjZnVzdkdUFJRHAwNmRqMDZaTktDb3FncjI5ZmJzMUhUbHlCTTg4OHd4Y1hGeVFscGFHdkx3OEZCUVVvS3lzRE1PSEQ4Zm8wYU14Zi81OEZCY1g0OENCQTFpMmJCbUtpNHRoYjI4UFgxOWZMRnEwQ0JNbVRNRHc0Y05oYTJzTG5VNkhuVHQzb3J5OEhJc1dMWUtWbFJVcUt5dkZRQXVDZ0xObno2S29xQWlYTDE5R2ZIdzg2dXJxc0hqeFlpeGJ0Z3dEQmd3QTV4dzlldlNBdmIwOXRtN2RpdGRmZi8yK2ZoL0liZHh0bDhQVDAvTzJ6NDhjT2JMTnZxRkRoNHJidnI2K0JzOTVlM3R6emprZk0yWU1iMnhzRlBlSGg0Zno1Y3VYMzdMTEVSUVV4QThmUHN3NTUveklrU004T1RtWkZ4WVdja0VRdUVxbDRpTkhqdVNDSUJpOFZtMXRMYy9PenVabFpXWGl2dkx5Y3I1eTVVcis2cXV2OHYzNzkzT2RUc2M1NTd5d3NKQlBuVHFWNzlxMXkrQWEyN2R2NTZ0WHIrYWNjeDRaR2NsbnpackZmWHg4dUplWEZ4ODNiaHhYS3BVOElDQ0FlM3Q3aTEyU2pxQXVoMFNhbTV2YkhkWDRNNlpQbjk1bW4xcXRSdmZ1M2NYSGt5ZFB4ai8rOFk5Mlc3bXpaOCtpc3JJUzQ4YU5Bd0I0ZTNzak5EUVVYM3p4QlFDQWN3NnRWb3NKRXlZWW5LZFFLSERnd0FIeGNVUkVCQTRmUGd3TEN3dTR1YmxoejU0OTJMcDFLMVFxRlpxYm02RldxN0ZxMVNxVWxwWmkvdno1eU16TXhQYnQyeEVSRVlIVTFGUkVSRVRBd3NJQ0kwZU9SR1ptSmt4TVREQnMyRERzMkxFRCtmbjVzTGEydnFldjA4UFdKUVBkdlh0M2NVaXVQYU5HamJyak5aS1RrOFZ0SHg4ZkNJSUF4cGc0S3FHL1RtQmdJSFE2WFp2ek5Sb04zbm5uSFlQalc0OEJiOWl3QWJXMXRRZ1BEeGYzcVZRcXZQRENDd2JYbVRScEVueDhmR0J0YlExcmEydjA3TmtUTDczMEV0TFQwMkZ1Ymc2RlFvR0tpZ3FFaDRlanVyb2FSNDhlaFl1TEM0NGVQUXBIUjBlWW01dWpyS3dNTmpZMkJyVUF3T0RCZysvNGRlaHN1bVNnbTV1YjhiZS8vZTJ1enEydHJRVUFnL05OVFUzUjJOZ285cDliNzU4elp3NXFhbXJhWEdmSWtDRzNmSTFmZi8wVk8zZnV4TmRmZjIyd3Y2cXFDalkyTmdiN25udnVPYVNucDJQOSt2VklTRWdRUTJsaFlZRXZ2dmdDNWVYbCtQREREOFdoeGc4KytBQXFsUXFGaFlVNGYvNDhLaW9xa0phV0JqYzN0eloxSEQxNkZIVjFkWGY5dFpKQ2x3ejB5eSsvalBmZmYvK1d6NjlZc2NMZ2NWMWRIUUFnUER3Y1hsNWU4UFQweE9MRml3RzBqR2VibXByaTBLRkQ2TjI3OXozVnBkUHBzR2ZQSHNURnhTRXlNaExPenM1UXE5WGlmNVNzckN6MDY5ZlA0SnlqUjQ5aThlTEZpSW1KYWRQQ0JnWUdZdEdpUlFnSkNjR3FWYXRnYlcyTlYxOTlGUXFGQXE2dXJuQjFkY1hwMDZjUkh4OXY4Tk9CTVFhZFRvZUxGeS9TS0VkbnBoK05BQXhITmRwejhPQkJ2UC8rKy9EMzkwZHBhU2xjWFYzeHhodHY0T21ubjhhVUtWUEU0eFl2WG93ZmZ2Z0JqREh4aGtSY1hCeTJiOTl1Y0QxTFMwdU1IVHUyemJaZVRFd01saTVkQ21kblo2eGZ2eDREQmd3QUFIejQ0WWM0ZXZRb3VuWHJCbHRiVzRQUm1aU1VGUEUyK2FCQmc2QlNxYUJTcWNRN21GWldWbGkzYmgyaW9xSXdlL1pzeE1YRjRadHZ2aEZER2gwZGpSTW5UbURseXBYaThDUUFqQjQ5R3Y3Ky9tQ01ZY09HRFIzNzRwSjdkN2VqSFBlYlZxc1ZSeGJ1bGtxbDR1Zk9uV3YzT1oxT3h6VWFUWnY5c2JHeHZLaW9pSFBPZVVGQmdUaEs4Zm5ubjdjNWY4dVdMUVlqTUp4emZ1blNKYTVXcSsrcDd0WTZ3eWlIc2Y5SkNnN1FHNTUzRnZyNUh6azVPWkxsaW1iYkVWbWhRTXRNUTBPRDFDVklpZ0o5RDFRcUZhNWZ2eTcrdTNsK3NWcXRGbStVZEpRZ0NGaXhZb1hCWE92OC9IeURteW0zb3RQcE1HM2FOSlNWbGYycDE1U1RMalhLY1RlV0xGbUN2THc4WExseUJVNU9UdUpIb09WdTRjR0RCOFZqTDErK2pKOSsra2w4Zk9MRUNSUVhGd01BaGc4Zmp2Nzkrd01BaW91TDhkaGpqd0VBNnV2ckRjS2FsNWVIL1B4OGc3bldmZnIwUVdSa0pQejgvTm9kUnRQZjlkUnF0YWl0cmNYY3VYUGJISE83RzBseVFvRytnK2pvYUFCQVFFQUFkdTdjS1g3VWUrMjExOFR0MXNPQ1FNdlFuNit2THdEQTN0NWVQTS9IeDBmY3ZubTF6TjY5ZXpGNTh1UjJWOUZNbmp4WjNMYTB0RVJTVWhLQWxqblBXVmxadC93Y09uTG5VeTRvMEIwUUVCQ0FTNWN1R1h4ODVKRkhzR2JObWx1ZVUxZFhoOHpNVEVSRlJRRm91Y3MzYTlZc0FDMnRzbjY3dGFxcUt2ejQ0NDhJQ3d0cnM1cmtkalFhelcyUDcraFNNVG1nUUhlQVdxMkdpNHVMUVF0OXA4bE5XN2R1QldOTXZNdG5aMmVIYmR1MkFXaHBvZlhiclZ2aXI3NzZDZ0RRczJkUDVPYm1pbmNqMjdOcTFTcHhaWXlabVpuQlQ0MmJVUXROMnREM1hUazN2Rzh3ZnZ4NGNWSy9maUZ0ZFhVMTl1M2JaM0RjOWV2WHhWYTB2cjYrVFl0YVVsS0NIMzc0UVh6czd1N2U0WDR2dGRCL29FQjNnRmFyaFlXRkJZQ1d2bkRyOEhET3hWL3FFaE1UQVFENzkrL0hLNis4Z29TRUJQRzRmLzNyWDJKTDJib1ByZS83N3QrL0gyKy8vVFpXcmx3SkFOUkMzeVVLZEFjME5EVEF5OHNMQUxCKy9Yb0FhTGZMb2Y4RmNlTEVpYkMxdFJVRDdlZm5CMXRiVzNHUjdzMHRkRlJVRkhidjNnMXJhMnN4MEgrMmhiNWRGNGhhYUdMQXhzWUdyN3p5eWgyUDQ1eURNZGJ1a3F2V0xhaVBqdzlpWTJPUmxKU0VlZlBtd2MvUHI5Mko5Qk1tVERCWVA2algxTlFrZGsrU2s1T3hkZXRXZlBmZGQxaXdZQUgyN2R1SGdvSUNoSWVIaTkya1E0Y09ZZCsrZlFhVHF1U0tBdDBCNWVYbENBb0t1dU54aHc0ZFFuRnhNWUtEZzlzOGQvYnNXYXhhdFFwcXRScjE5ZlVJQ2dwQ1EwTURaczZjZWN2clZWZFhHL1NyOWZSZGlNYkdSc1RGeFNFbEpRVTdkdXpBZ2dVTE1HWEtGUHp5eXkvWXZYczNac3lZZ1pDUUVDeGN1QkJoWVdHd3Q3Y1hGd2JMRlFXNkF4d2NITVJSQ1QzOWozaEJFS0JTcVdCaFlZRno1ODZKdnlEZXJILy8vZ2dNRElTVGt4UDY5T2tEYTJ0cnhNYkdJajgvLzY3clNrcEtncmUzTjNyMjdBa3pNelBVMWRYQjJ0b2FFUkVSWUl5aHBLUUV2L3p5QzU1NDRna3NYNzRjKy9mdnAwQ1RsaGI2VnFNSS92Nys4UGYzaDVtWkdicDM3NDdZMk5oMmo3T3dzRENZQTYxU3FSQVNFb0tLaWdxRGRZaXRDWUxRYnQ5WTN5ZjI5ZlVWL3dPOS9QTExlUEhGRjJGcWFpb2V4em5IdkhuekRDYjBrMDdzWWMySFBuMzZkSWYyM1V5L0dqd2dJS0ROYy92MzcrZlRwazNqTTJiTTRIdjI3Qkgzdi9mZWUrTDJXMis5MWU1MTU4K2ZmOGZYbGdMTmg3NUhOQis2YzZINTBJVGNaeFJvSWlzVWFDSXJGR2dpS3hSb0lpc1VhQ0lyRkdnaUt4Um9JaXNVYUNJckZHZ2lLeFJvSWlzVWFDSXJGR2dpS3hSb0lpc1VhQ0lyRkdnaUt4Um9JaXNVYUNJcnNsZ2txMS82UTRoUnQ5Q2M4eE5TMTBEYUtKQzZBRUlJSVlRUVFnZ2hoQkJDQ0NHRUVFSUlJWVFRUWdnaGhCQkNDQ0dFRUVJSUlZUVFRZ2doaEJCQ0NDR0VFRUlJSVlRUVFnZ2hwSlA3ZnpRZzFRNTZaWUJUQUFBQUFFbEZUa1N1UW1DQyIsCiAgICJUaGVtZSIgOiAiIiwKICAgIlR5cGUiIDogImZsb3ciLAogICA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2021-09-24T06:05:00Z</dcterms:created>
  <dc:creator>木子</dc:creator>
  <cp:lastModifiedBy>木子</cp:lastModifiedBy>
  <dcterms:modified xsi:type="dcterms:W3CDTF">2021-11-23T05:20:30Z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25F1FE485FC748118AD1FBBD17A71D1C</vt:lpwstr>
  </property>
</Properties>
</file>